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21DFD" w14:textId="30D60356" w:rsidR="00C3268A" w:rsidRDefault="00C62CC4" w:rsidP="00C3268A">
      <w:pPr>
        <w:pStyle w:val="BodyText"/>
        <w:spacing w:before="223" w:line="264" w:lineRule="auto"/>
        <w:jc w:val="center"/>
        <w:rPr>
          <w:b/>
          <w:sz w:val="28"/>
          <w:szCs w:val="28"/>
        </w:rPr>
      </w:pPr>
      <w:r w:rsidRPr="00C62CC4">
        <w:rPr>
          <w:b/>
          <w:sz w:val="28"/>
          <w:szCs w:val="28"/>
        </w:rPr>
        <w:t xml:space="preserve">NQTL </w:t>
      </w:r>
      <w:r w:rsidR="006F2514">
        <w:rPr>
          <w:b/>
          <w:sz w:val="28"/>
          <w:szCs w:val="28"/>
        </w:rPr>
        <w:t>Reporting</w:t>
      </w:r>
      <w:r w:rsidR="00C3268A">
        <w:rPr>
          <w:b/>
          <w:sz w:val="28"/>
          <w:szCs w:val="28"/>
        </w:rPr>
        <w:t xml:space="preserve"> Submission Form</w:t>
      </w:r>
    </w:p>
    <w:p w14:paraId="1ECD2460" w14:textId="7289C59F" w:rsidR="00C3268A" w:rsidRPr="006F2514" w:rsidRDefault="00C3268A" w:rsidP="006F2514">
      <w:pPr>
        <w:pStyle w:val="BodyText"/>
        <w:spacing w:before="223" w:line="264" w:lineRule="auto"/>
        <w:jc w:val="center"/>
        <w:rPr>
          <w:b/>
          <w:sz w:val="28"/>
          <w:szCs w:val="28"/>
        </w:rPr>
      </w:pPr>
      <w:r>
        <w:rPr>
          <w:b/>
          <w:sz w:val="28"/>
          <w:szCs w:val="28"/>
        </w:rPr>
        <w:t>[</w:t>
      </w:r>
      <w:r w:rsidRPr="00C3268A">
        <w:rPr>
          <w:b/>
          <w:i/>
          <w:iCs/>
          <w:sz w:val="28"/>
          <w:szCs w:val="28"/>
        </w:rPr>
        <w:t>Insert NQTL</w:t>
      </w:r>
      <w:bookmarkStart w:id="0" w:name="_GoBack"/>
      <w:bookmarkEnd w:id="0"/>
      <w:r>
        <w:rPr>
          <w:b/>
          <w:sz w:val="28"/>
          <w:szCs w:val="28"/>
        </w:rPr>
        <w:t>]</w:t>
      </w:r>
    </w:p>
    <w:p w14:paraId="17858BE1" w14:textId="77777777" w:rsidR="005410B9" w:rsidRPr="007F0A84" w:rsidRDefault="005410B9" w:rsidP="00F01953">
      <w:pPr>
        <w:pStyle w:val="BodyText"/>
        <w:spacing w:before="223" w:line="264" w:lineRule="auto"/>
        <w:rPr>
          <w:b/>
          <w:sz w:val="22"/>
          <w:szCs w:val="22"/>
        </w:rPr>
      </w:pPr>
      <w:r w:rsidRPr="007F0A84">
        <w:rPr>
          <w:b/>
          <w:sz w:val="22"/>
          <w:szCs w:val="22"/>
        </w:rPr>
        <w:t>Step 1: Provide the specific plan language regarding the NQTL and describe all services to which it applies in each respective classification of benefits.</w:t>
      </w:r>
    </w:p>
    <w:p w14:paraId="7953EC62" w14:textId="17A1DB8F" w:rsidR="005410B9" w:rsidRPr="007F0A84" w:rsidRDefault="005410B9" w:rsidP="00F01953">
      <w:pPr>
        <w:pStyle w:val="BodyText"/>
        <w:spacing w:before="223" w:line="264" w:lineRule="auto"/>
        <w:rPr>
          <w:sz w:val="22"/>
          <w:szCs w:val="22"/>
        </w:rPr>
      </w:pPr>
      <w:r w:rsidRPr="007F0A84">
        <w:rPr>
          <w:sz w:val="22"/>
          <w:szCs w:val="22"/>
        </w:rPr>
        <w:t>Identify and provide the specific language of the NQTL as provided in the plan documents. This shall include each step, associated triggers, timelines, forms and requirements.</w:t>
      </w:r>
    </w:p>
    <w:p w14:paraId="1AC49936" w14:textId="25A0F27A" w:rsidR="00CD04D9" w:rsidRPr="00820BA4" w:rsidRDefault="00BC3BA8" w:rsidP="00F01953">
      <w:pPr>
        <w:pStyle w:val="BodyText"/>
        <w:spacing w:before="223" w:line="264" w:lineRule="auto"/>
        <w:rPr>
          <w:i/>
          <w:iCs/>
          <w:sz w:val="22"/>
          <w:szCs w:val="22"/>
        </w:rPr>
      </w:pPr>
      <w:bookmarkStart w:id="1" w:name="_Hlk15997097"/>
      <w:r w:rsidRPr="007F0A84">
        <w:rPr>
          <w:i/>
          <w:iCs/>
          <w:sz w:val="22"/>
          <w:szCs w:val="22"/>
        </w:rPr>
        <w:t xml:space="preserve">Simply insert “same as ____” whenever an entry is </w:t>
      </w:r>
      <w:r w:rsidR="00B35B43" w:rsidRPr="007F0A84">
        <w:rPr>
          <w:i/>
          <w:iCs/>
          <w:sz w:val="22"/>
          <w:szCs w:val="22"/>
        </w:rPr>
        <w:t>identical to another entry</w:t>
      </w:r>
    </w:p>
    <w:p w14:paraId="4B6EB284" w14:textId="1FE47761" w:rsidR="00603227" w:rsidRPr="000C55E8" w:rsidRDefault="00603227" w:rsidP="00F01953">
      <w:pPr>
        <w:pStyle w:val="BodyText"/>
        <w:spacing w:before="223" w:line="264" w:lineRule="auto"/>
        <w:rPr>
          <w:b/>
          <w:bCs/>
          <w:sz w:val="22"/>
          <w:szCs w:val="22"/>
        </w:rPr>
      </w:pPr>
      <w:r w:rsidRPr="000C55E8">
        <w:rPr>
          <w:b/>
          <w:bCs/>
          <w:sz w:val="22"/>
          <w:szCs w:val="22"/>
        </w:rPr>
        <w:t>Inpatient, in-network:</w:t>
      </w:r>
    </w:p>
    <w:p w14:paraId="02ADC4C6" w14:textId="5F627FFF" w:rsidR="00603227" w:rsidRPr="007F0A84" w:rsidRDefault="00603227" w:rsidP="00F01953">
      <w:pPr>
        <w:pStyle w:val="BodyText"/>
        <w:spacing w:before="223" w:line="264" w:lineRule="auto"/>
        <w:rPr>
          <w:sz w:val="22"/>
          <w:szCs w:val="22"/>
        </w:rPr>
      </w:pPr>
    </w:p>
    <w:p w14:paraId="60D54FF3" w14:textId="3BD5C4D5" w:rsidR="00603227" w:rsidRPr="007F0A84" w:rsidRDefault="00603227" w:rsidP="00F01953">
      <w:pPr>
        <w:pStyle w:val="BodyText"/>
        <w:spacing w:before="223" w:line="264" w:lineRule="auto"/>
        <w:rPr>
          <w:b/>
          <w:bCs/>
          <w:sz w:val="22"/>
          <w:szCs w:val="22"/>
        </w:rPr>
      </w:pPr>
      <w:bookmarkStart w:id="2" w:name="_Hlk15996936"/>
      <w:r w:rsidRPr="007F0A84">
        <w:rPr>
          <w:b/>
          <w:bCs/>
          <w:sz w:val="22"/>
          <w:szCs w:val="22"/>
        </w:rPr>
        <w:t>Inpatient, out-of-network</w:t>
      </w:r>
      <w:r w:rsidR="00B35B43" w:rsidRPr="007F0A84">
        <w:rPr>
          <w:b/>
          <w:bCs/>
          <w:sz w:val="22"/>
          <w:szCs w:val="22"/>
        </w:rPr>
        <w:t>:</w:t>
      </w:r>
    </w:p>
    <w:p w14:paraId="262E2312" w14:textId="530433F1" w:rsidR="00BC3BA8" w:rsidRPr="007F0A84" w:rsidRDefault="00BC3BA8" w:rsidP="00F01953">
      <w:pPr>
        <w:pStyle w:val="BodyText"/>
        <w:spacing w:before="223" w:line="264" w:lineRule="auto"/>
        <w:rPr>
          <w:b/>
          <w:bCs/>
          <w:sz w:val="22"/>
          <w:szCs w:val="22"/>
        </w:rPr>
      </w:pPr>
    </w:p>
    <w:p w14:paraId="63498C8D" w14:textId="5F070FAE" w:rsidR="00BC3BA8" w:rsidRPr="007F0A84" w:rsidRDefault="00B35B43" w:rsidP="00F01953">
      <w:pPr>
        <w:pStyle w:val="BodyText"/>
        <w:spacing w:before="223" w:line="264" w:lineRule="auto"/>
        <w:rPr>
          <w:b/>
          <w:bCs/>
          <w:sz w:val="22"/>
          <w:szCs w:val="22"/>
        </w:rPr>
      </w:pPr>
      <w:r w:rsidRPr="007F0A84">
        <w:rPr>
          <w:b/>
          <w:bCs/>
          <w:sz w:val="22"/>
          <w:szCs w:val="22"/>
        </w:rPr>
        <w:t>Outpatient, in-network</w:t>
      </w:r>
      <w:r w:rsidR="009365FD" w:rsidRPr="007F0A84">
        <w:rPr>
          <w:b/>
          <w:bCs/>
          <w:sz w:val="22"/>
          <w:szCs w:val="22"/>
        </w:rPr>
        <w:t>:</w:t>
      </w:r>
    </w:p>
    <w:p w14:paraId="2CF181D8" w14:textId="77777777" w:rsidR="009365FD" w:rsidRPr="007F0A84" w:rsidRDefault="009365FD" w:rsidP="00F01953">
      <w:pPr>
        <w:pStyle w:val="BodyText"/>
        <w:spacing w:before="223" w:line="264" w:lineRule="auto"/>
        <w:rPr>
          <w:b/>
          <w:bCs/>
          <w:sz w:val="22"/>
          <w:szCs w:val="22"/>
        </w:rPr>
      </w:pPr>
    </w:p>
    <w:p w14:paraId="5F48D616" w14:textId="23319A06" w:rsidR="009365FD" w:rsidRPr="007F0A84" w:rsidRDefault="009365FD" w:rsidP="00F01953">
      <w:pPr>
        <w:pStyle w:val="BodyText"/>
        <w:spacing w:before="223" w:line="264" w:lineRule="auto"/>
        <w:rPr>
          <w:b/>
          <w:bCs/>
          <w:sz w:val="22"/>
          <w:szCs w:val="22"/>
        </w:rPr>
      </w:pPr>
      <w:r w:rsidRPr="007F0A84">
        <w:rPr>
          <w:b/>
          <w:bCs/>
          <w:sz w:val="22"/>
          <w:szCs w:val="22"/>
        </w:rPr>
        <w:tab/>
      </w:r>
      <w:bookmarkStart w:id="3" w:name="_Hlk15996838"/>
      <w:r w:rsidRPr="007F0A84">
        <w:rPr>
          <w:b/>
          <w:bCs/>
          <w:sz w:val="22"/>
          <w:szCs w:val="22"/>
        </w:rPr>
        <w:t>If subclassifications are used</w:t>
      </w:r>
    </w:p>
    <w:p w14:paraId="40EE9852" w14:textId="480F1588" w:rsidR="009365FD" w:rsidRPr="007F0A84" w:rsidRDefault="009365FD" w:rsidP="00F01953">
      <w:pPr>
        <w:pStyle w:val="BodyText"/>
        <w:spacing w:before="223" w:line="264" w:lineRule="auto"/>
        <w:rPr>
          <w:b/>
          <w:bCs/>
          <w:sz w:val="22"/>
          <w:szCs w:val="22"/>
        </w:rPr>
      </w:pPr>
      <w:r w:rsidRPr="007F0A84">
        <w:rPr>
          <w:b/>
          <w:bCs/>
          <w:sz w:val="22"/>
          <w:szCs w:val="22"/>
        </w:rPr>
        <w:tab/>
        <w:t>Office visit:</w:t>
      </w:r>
    </w:p>
    <w:p w14:paraId="05B9E8FD" w14:textId="77777777" w:rsidR="009365FD" w:rsidRPr="007F0A84" w:rsidRDefault="009365FD" w:rsidP="00F01953">
      <w:pPr>
        <w:pStyle w:val="BodyText"/>
        <w:spacing w:before="223" w:line="264" w:lineRule="auto"/>
        <w:rPr>
          <w:b/>
          <w:bCs/>
          <w:sz w:val="22"/>
          <w:szCs w:val="22"/>
        </w:rPr>
      </w:pPr>
    </w:p>
    <w:p w14:paraId="17F5B921" w14:textId="5C1FFC5C" w:rsidR="009365FD" w:rsidRPr="007F0A84" w:rsidRDefault="009365FD" w:rsidP="00F01953">
      <w:pPr>
        <w:pStyle w:val="BodyText"/>
        <w:spacing w:before="223" w:line="264" w:lineRule="auto"/>
        <w:rPr>
          <w:b/>
          <w:bCs/>
          <w:sz w:val="22"/>
          <w:szCs w:val="22"/>
        </w:rPr>
      </w:pPr>
      <w:r w:rsidRPr="007F0A84">
        <w:rPr>
          <w:b/>
          <w:bCs/>
          <w:sz w:val="22"/>
          <w:szCs w:val="22"/>
        </w:rPr>
        <w:tab/>
        <w:t>Outpatient other:</w:t>
      </w:r>
    </w:p>
    <w:p w14:paraId="52214C2F" w14:textId="77777777" w:rsidR="00F90121" w:rsidRPr="007F0A84" w:rsidRDefault="00F90121" w:rsidP="00F01953">
      <w:pPr>
        <w:pStyle w:val="BodyText"/>
        <w:spacing w:before="223" w:line="264" w:lineRule="auto"/>
        <w:rPr>
          <w:b/>
          <w:bCs/>
          <w:sz w:val="22"/>
          <w:szCs w:val="22"/>
        </w:rPr>
      </w:pPr>
    </w:p>
    <w:bookmarkEnd w:id="3"/>
    <w:p w14:paraId="55204EC0" w14:textId="62747D17" w:rsidR="009365FD" w:rsidRPr="007F0A84" w:rsidRDefault="009365FD" w:rsidP="00F01953">
      <w:pPr>
        <w:pStyle w:val="BodyText"/>
        <w:spacing w:before="223" w:line="264" w:lineRule="auto"/>
        <w:rPr>
          <w:b/>
          <w:bCs/>
          <w:sz w:val="22"/>
          <w:szCs w:val="22"/>
        </w:rPr>
      </w:pPr>
      <w:r w:rsidRPr="007F0A84">
        <w:rPr>
          <w:b/>
          <w:bCs/>
          <w:sz w:val="22"/>
          <w:szCs w:val="22"/>
        </w:rPr>
        <w:t>Outpatient, out-of-network</w:t>
      </w:r>
      <w:r w:rsidR="00F90121" w:rsidRPr="007F0A84">
        <w:rPr>
          <w:b/>
          <w:bCs/>
          <w:sz w:val="22"/>
          <w:szCs w:val="22"/>
        </w:rPr>
        <w:t>:</w:t>
      </w:r>
    </w:p>
    <w:p w14:paraId="29EFC947" w14:textId="6F096E2D" w:rsidR="00F90121" w:rsidRPr="007F0A84" w:rsidRDefault="00F90121" w:rsidP="00F01953">
      <w:pPr>
        <w:pStyle w:val="BodyText"/>
        <w:spacing w:before="223" w:line="264" w:lineRule="auto"/>
        <w:rPr>
          <w:b/>
          <w:bCs/>
          <w:sz w:val="22"/>
          <w:szCs w:val="22"/>
        </w:rPr>
      </w:pPr>
    </w:p>
    <w:p w14:paraId="02661468" w14:textId="77777777" w:rsidR="00F90121" w:rsidRPr="007F0A84" w:rsidRDefault="00F90121" w:rsidP="00F90121">
      <w:pPr>
        <w:pStyle w:val="BodyText"/>
        <w:spacing w:before="223" w:line="264" w:lineRule="auto"/>
        <w:rPr>
          <w:b/>
          <w:bCs/>
          <w:sz w:val="22"/>
          <w:szCs w:val="22"/>
        </w:rPr>
      </w:pPr>
      <w:r w:rsidRPr="007F0A84">
        <w:rPr>
          <w:b/>
          <w:bCs/>
          <w:sz w:val="22"/>
          <w:szCs w:val="22"/>
        </w:rPr>
        <w:tab/>
        <w:t>If subclassifications are used</w:t>
      </w:r>
    </w:p>
    <w:p w14:paraId="21297B20" w14:textId="77777777" w:rsidR="00F90121" w:rsidRPr="007F0A84" w:rsidRDefault="00F90121" w:rsidP="00F90121">
      <w:pPr>
        <w:pStyle w:val="BodyText"/>
        <w:spacing w:before="223" w:line="264" w:lineRule="auto"/>
        <w:rPr>
          <w:b/>
          <w:bCs/>
          <w:sz w:val="22"/>
          <w:szCs w:val="22"/>
        </w:rPr>
      </w:pPr>
      <w:r w:rsidRPr="007F0A84">
        <w:rPr>
          <w:b/>
          <w:bCs/>
          <w:sz w:val="22"/>
          <w:szCs w:val="22"/>
        </w:rPr>
        <w:tab/>
        <w:t>Office visit:</w:t>
      </w:r>
    </w:p>
    <w:p w14:paraId="4F654DF2" w14:textId="77777777" w:rsidR="00F90121" w:rsidRPr="007F0A84" w:rsidRDefault="00F90121" w:rsidP="00F90121">
      <w:pPr>
        <w:pStyle w:val="BodyText"/>
        <w:spacing w:before="223" w:line="264" w:lineRule="auto"/>
        <w:rPr>
          <w:b/>
          <w:bCs/>
          <w:sz w:val="22"/>
          <w:szCs w:val="22"/>
        </w:rPr>
      </w:pPr>
    </w:p>
    <w:p w14:paraId="7C6C2D27" w14:textId="77777777" w:rsidR="00F90121" w:rsidRPr="007F0A84" w:rsidRDefault="00F90121" w:rsidP="00F90121">
      <w:pPr>
        <w:pStyle w:val="BodyText"/>
        <w:spacing w:before="223" w:line="264" w:lineRule="auto"/>
        <w:rPr>
          <w:b/>
          <w:bCs/>
          <w:sz w:val="22"/>
          <w:szCs w:val="22"/>
        </w:rPr>
      </w:pPr>
      <w:r w:rsidRPr="007F0A84">
        <w:rPr>
          <w:b/>
          <w:bCs/>
          <w:sz w:val="22"/>
          <w:szCs w:val="22"/>
        </w:rPr>
        <w:tab/>
        <w:t>Outpatient other:</w:t>
      </w:r>
    </w:p>
    <w:p w14:paraId="5D0D351E" w14:textId="77777777" w:rsidR="00F90121" w:rsidRPr="007F0A84" w:rsidRDefault="00F90121" w:rsidP="00F90121">
      <w:pPr>
        <w:pStyle w:val="BodyText"/>
        <w:spacing w:before="223" w:line="264" w:lineRule="auto"/>
        <w:rPr>
          <w:b/>
          <w:bCs/>
          <w:sz w:val="22"/>
          <w:szCs w:val="22"/>
        </w:rPr>
      </w:pPr>
    </w:p>
    <w:p w14:paraId="505C2C26" w14:textId="77777777" w:rsidR="007C790C" w:rsidRPr="007F0A84" w:rsidRDefault="007C790C" w:rsidP="00F01953">
      <w:pPr>
        <w:pStyle w:val="BodyText"/>
        <w:spacing w:before="223" w:line="264" w:lineRule="auto"/>
        <w:rPr>
          <w:b/>
          <w:bCs/>
          <w:sz w:val="22"/>
          <w:szCs w:val="22"/>
        </w:rPr>
      </w:pPr>
      <w:r w:rsidRPr="007F0A84">
        <w:rPr>
          <w:b/>
          <w:bCs/>
          <w:sz w:val="22"/>
          <w:szCs w:val="22"/>
        </w:rPr>
        <w:lastRenderedPageBreak/>
        <w:t>Emergency:</w:t>
      </w:r>
    </w:p>
    <w:p w14:paraId="2D191730" w14:textId="77777777" w:rsidR="007C790C" w:rsidRPr="007F0A84" w:rsidRDefault="007C790C" w:rsidP="00F01953">
      <w:pPr>
        <w:pStyle w:val="BodyText"/>
        <w:spacing w:before="223" w:line="264" w:lineRule="auto"/>
        <w:rPr>
          <w:b/>
          <w:bCs/>
          <w:sz w:val="22"/>
          <w:szCs w:val="22"/>
        </w:rPr>
      </w:pPr>
    </w:p>
    <w:p w14:paraId="19AA9E0C" w14:textId="77777777" w:rsidR="007C790C" w:rsidRPr="007F0A84" w:rsidRDefault="007C790C" w:rsidP="00F01953">
      <w:pPr>
        <w:pStyle w:val="BodyText"/>
        <w:spacing w:before="223" w:line="264" w:lineRule="auto"/>
        <w:rPr>
          <w:b/>
          <w:bCs/>
          <w:sz w:val="22"/>
          <w:szCs w:val="22"/>
        </w:rPr>
      </w:pPr>
      <w:r w:rsidRPr="007F0A84">
        <w:rPr>
          <w:b/>
          <w:bCs/>
          <w:sz w:val="22"/>
          <w:szCs w:val="22"/>
        </w:rPr>
        <w:t>Prescription drug:</w:t>
      </w:r>
    </w:p>
    <w:bookmarkEnd w:id="2"/>
    <w:bookmarkEnd w:id="1"/>
    <w:p w14:paraId="5CA50BF6" w14:textId="7427FB32" w:rsidR="005410B9" w:rsidRPr="007F0A84" w:rsidRDefault="00F90121" w:rsidP="00820BA4">
      <w:pPr>
        <w:pStyle w:val="BodyText"/>
        <w:spacing w:before="223" w:line="264" w:lineRule="auto"/>
        <w:rPr>
          <w:sz w:val="22"/>
          <w:szCs w:val="22"/>
        </w:rPr>
      </w:pPr>
      <w:r w:rsidRPr="007F0A84">
        <w:rPr>
          <w:sz w:val="22"/>
          <w:szCs w:val="22"/>
        </w:rPr>
        <w:tab/>
      </w:r>
    </w:p>
    <w:p w14:paraId="42C8BC6D" w14:textId="77777777" w:rsidR="005410B9" w:rsidRPr="007F0A84" w:rsidRDefault="005410B9" w:rsidP="00F01953">
      <w:pPr>
        <w:pStyle w:val="BodyText"/>
        <w:spacing w:before="181" w:line="264" w:lineRule="auto"/>
        <w:rPr>
          <w:b/>
          <w:sz w:val="22"/>
          <w:szCs w:val="22"/>
        </w:rPr>
      </w:pPr>
      <w:r w:rsidRPr="007F0A84">
        <w:rPr>
          <w:b/>
          <w:sz w:val="22"/>
          <w:szCs w:val="22"/>
        </w:rPr>
        <w:t>Step 2: Identify the factors that trigger the application of the NQTL.</w:t>
      </w:r>
    </w:p>
    <w:p w14:paraId="29F17632" w14:textId="2062F0D1" w:rsidR="005410B9" w:rsidRPr="007F0A84" w:rsidRDefault="00EC08EB" w:rsidP="00F01953">
      <w:pPr>
        <w:pStyle w:val="BodyText"/>
        <w:spacing w:before="181" w:line="264" w:lineRule="auto"/>
        <w:rPr>
          <w:sz w:val="22"/>
          <w:szCs w:val="22"/>
        </w:rPr>
      </w:pPr>
      <w:r w:rsidRPr="007F0A84">
        <w:rPr>
          <w:sz w:val="22"/>
          <w:szCs w:val="22"/>
        </w:rPr>
        <w:t>Demonstrate</w:t>
      </w:r>
      <w:r w:rsidR="005410B9" w:rsidRPr="007F0A84">
        <w:rPr>
          <w:sz w:val="22"/>
          <w:szCs w:val="22"/>
        </w:rPr>
        <w:t xml:space="preserve"> that comparable factors were used to determine the applicability of the NQTL for the identified MH/SUD benefits as were used for medical/surgical</w:t>
      </w:r>
      <w:r w:rsidR="005410B9" w:rsidRPr="007F0A84">
        <w:rPr>
          <w:spacing w:val="-9"/>
          <w:sz w:val="22"/>
          <w:szCs w:val="22"/>
        </w:rPr>
        <w:t xml:space="preserve"> </w:t>
      </w:r>
      <w:r w:rsidR="005410B9" w:rsidRPr="007F0A84">
        <w:rPr>
          <w:sz w:val="22"/>
          <w:szCs w:val="22"/>
        </w:rPr>
        <w:t>benefits,</w:t>
      </w:r>
      <w:r w:rsidR="005410B9" w:rsidRPr="007F0A84">
        <w:rPr>
          <w:spacing w:val="-9"/>
          <w:sz w:val="22"/>
          <w:szCs w:val="22"/>
        </w:rPr>
        <w:t xml:space="preserve"> </w:t>
      </w:r>
      <w:r w:rsidR="005410B9" w:rsidRPr="007F0A84">
        <w:rPr>
          <w:sz w:val="22"/>
          <w:szCs w:val="22"/>
        </w:rPr>
        <w:t>including</w:t>
      </w:r>
      <w:r w:rsidR="005410B9" w:rsidRPr="007F0A84">
        <w:rPr>
          <w:spacing w:val="-9"/>
          <w:sz w:val="22"/>
          <w:szCs w:val="22"/>
        </w:rPr>
        <w:t xml:space="preserve"> </w:t>
      </w:r>
      <w:r w:rsidR="005410B9" w:rsidRPr="007F0A84">
        <w:rPr>
          <w:sz w:val="22"/>
          <w:szCs w:val="22"/>
        </w:rPr>
        <w:t>the</w:t>
      </w:r>
      <w:r w:rsidR="005410B9" w:rsidRPr="007F0A84">
        <w:rPr>
          <w:spacing w:val="-9"/>
          <w:sz w:val="22"/>
          <w:szCs w:val="22"/>
        </w:rPr>
        <w:t xml:space="preserve"> </w:t>
      </w:r>
      <w:r w:rsidR="005410B9" w:rsidRPr="007F0A84">
        <w:rPr>
          <w:sz w:val="22"/>
          <w:szCs w:val="22"/>
        </w:rPr>
        <w:t>sources</w:t>
      </w:r>
      <w:r w:rsidR="005410B9" w:rsidRPr="007F0A84">
        <w:rPr>
          <w:spacing w:val="-9"/>
          <w:sz w:val="22"/>
          <w:szCs w:val="22"/>
        </w:rPr>
        <w:t xml:space="preserve"> </w:t>
      </w:r>
      <w:r w:rsidR="005410B9" w:rsidRPr="007F0A84">
        <w:rPr>
          <w:sz w:val="22"/>
          <w:szCs w:val="22"/>
        </w:rPr>
        <w:t>for</w:t>
      </w:r>
      <w:r w:rsidR="005410B9" w:rsidRPr="007F0A84">
        <w:rPr>
          <w:spacing w:val="-9"/>
          <w:sz w:val="22"/>
          <w:szCs w:val="22"/>
        </w:rPr>
        <w:t xml:space="preserve"> </w:t>
      </w:r>
      <w:r w:rsidR="005410B9" w:rsidRPr="007F0A84">
        <w:rPr>
          <w:sz w:val="22"/>
          <w:szCs w:val="22"/>
        </w:rPr>
        <w:t>ascertaining</w:t>
      </w:r>
      <w:r w:rsidR="005410B9" w:rsidRPr="007F0A84">
        <w:rPr>
          <w:spacing w:val="-9"/>
          <w:sz w:val="22"/>
          <w:szCs w:val="22"/>
        </w:rPr>
        <w:t xml:space="preserve"> </w:t>
      </w:r>
      <w:r w:rsidR="005410B9" w:rsidRPr="007F0A84">
        <w:rPr>
          <w:sz w:val="22"/>
          <w:szCs w:val="22"/>
        </w:rPr>
        <w:t>each</w:t>
      </w:r>
      <w:r w:rsidR="005410B9" w:rsidRPr="007F0A84">
        <w:rPr>
          <w:spacing w:val="-9"/>
          <w:sz w:val="22"/>
          <w:szCs w:val="22"/>
        </w:rPr>
        <w:t xml:space="preserve"> </w:t>
      </w:r>
      <w:r w:rsidR="005410B9" w:rsidRPr="007F0A84">
        <w:rPr>
          <w:sz w:val="22"/>
          <w:szCs w:val="22"/>
        </w:rPr>
        <w:t>of</w:t>
      </w:r>
      <w:r w:rsidR="005410B9" w:rsidRPr="007F0A84">
        <w:rPr>
          <w:spacing w:val="-9"/>
          <w:sz w:val="22"/>
          <w:szCs w:val="22"/>
        </w:rPr>
        <w:t xml:space="preserve"> </w:t>
      </w:r>
      <w:r w:rsidR="005410B9" w:rsidRPr="007F0A84">
        <w:rPr>
          <w:sz w:val="22"/>
          <w:szCs w:val="22"/>
        </w:rPr>
        <w:t>these</w:t>
      </w:r>
      <w:r w:rsidR="005410B9" w:rsidRPr="007F0A84">
        <w:rPr>
          <w:spacing w:val="-9"/>
          <w:sz w:val="22"/>
          <w:szCs w:val="22"/>
        </w:rPr>
        <w:t xml:space="preserve"> </w:t>
      </w:r>
      <w:r w:rsidR="005410B9" w:rsidRPr="007F0A84">
        <w:rPr>
          <w:sz w:val="22"/>
          <w:szCs w:val="22"/>
        </w:rPr>
        <w:t>factors.</w:t>
      </w:r>
      <w:r w:rsidR="005410B9" w:rsidRPr="007F0A84">
        <w:rPr>
          <w:spacing w:val="-9"/>
          <w:sz w:val="22"/>
          <w:szCs w:val="22"/>
        </w:rPr>
        <w:t xml:space="preserve"> </w:t>
      </w:r>
      <w:r w:rsidR="005410B9" w:rsidRPr="007F0A84">
        <w:rPr>
          <w:sz w:val="22"/>
          <w:szCs w:val="22"/>
        </w:rPr>
        <w:t>List</w:t>
      </w:r>
      <w:r w:rsidR="005410B9" w:rsidRPr="007F0A84">
        <w:rPr>
          <w:spacing w:val="-9"/>
          <w:sz w:val="22"/>
          <w:szCs w:val="22"/>
        </w:rPr>
        <w:t xml:space="preserve"> </w:t>
      </w:r>
      <w:r w:rsidR="005410B9" w:rsidRPr="007F0A84">
        <w:rPr>
          <w:sz w:val="22"/>
          <w:szCs w:val="22"/>
        </w:rPr>
        <w:t>factors that</w:t>
      </w:r>
      <w:r w:rsidR="005410B9" w:rsidRPr="007F0A84">
        <w:rPr>
          <w:spacing w:val="-6"/>
          <w:sz w:val="22"/>
          <w:szCs w:val="22"/>
        </w:rPr>
        <w:t xml:space="preserve"> </w:t>
      </w:r>
      <w:r w:rsidR="005410B9" w:rsidRPr="007F0A84">
        <w:rPr>
          <w:sz w:val="22"/>
          <w:szCs w:val="22"/>
        </w:rPr>
        <w:t>were</w:t>
      </w:r>
      <w:r w:rsidR="005410B9" w:rsidRPr="007F0A84">
        <w:rPr>
          <w:spacing w:val="-6"/>
          <w:sz w:val="22"/>
          <w:szCs w:val="22"/>
        </w:rPr>
        <w:t xml:space="preserve"> </w:t>
      </w:r>
      <w:r w:rsidR="005410B9" w:rsidRPr="007F0A84">
        <w:rPr>
          <w:sz w:val="22"/>
          <w:szCs w:val="22"/>
        </w:rPr>
        <w:t>relied</w:t>
      </w:r>
      <w:r w:rsidR="005410B9" w:rsidRPr="007F0A84">
        <w:rPr>
          <w:spacing w:val="-6"/>
          <w:sz w:val="22"/>
          <w:szCs w:val="22"/>
        </w:rPr>
        <w:t xml:space="preserve"> </w:t>
      </w:r>
      <w:r w:rsidR="005410B9" w:rsidRPr="007F0A84">
        <w:rPr>
          <w:sz w:val="22"/>
          <w:szCs w:val="22"/>
        </w:rPr>
        <w:t>upon</w:t>
      </w:r>
      <w:r w:rsidR="005410B9" w:rsidRPr="007F0A84">
        <w:rPr>
          <w:spacing w:val="-6"/>
          <w:sz w:val="22"/>
          <w:szCs w:val="22"/>
        </w:rPr>
        <w:t xml:space="preserve"> </w:t>
      </w:r>
      <w:r w:rsidR="005410B9" w:rsidRPr="007F0A84">
        <w:rPr>
          <w:sz w:val="22"/>
          <w:szCs w:val="22"/>
        </w:rPr>
        <w:t>but</w:t>
      </w:r>
      <w:r w:rsidR="005410B9" w:rsidRPr="007F0A84">
        <w:rPr>
          <w:spacing w:val="-6"/>
          <w:sz w:val="22"/>
          <w:szCs w:val="22"/>
        </w:rPr>
        <w:t xml:space="preserve"> </w:t>
      </w:r>
      <w:r w:rsidR="005410B9" w:rsidRPr="007F0A84">
        <w:rPr>
          <w:sz w:val="22"/>
          <w:szCs w:val="22"/>
        </w:rPr>
        <w:t>subsequently</w:t>
      </w:r>
      <w:r w:rsidR="005410B9" w:rsidRPr="007F0A84">
        <w:rPr>
          <w:spacing w:val="-6"/>
          <w:sz w:val="22"/>
          <w:szCs w:val="22"/>
        </w:rPr>
        <w:t xml:space="preserve"> </w:t>
      </w:r>
      <w:r w:rsidR="005410B9" w:rsidRPr="007F0A84">
        <w:rPr>
          <w:sz w:val="22"/>
          <w:szCs w:val="22"/>
        </w:rPr>
        <w:t>rejected</w:t>
      </w:r>
      <w:r w:rsidR="005410B9" w:rsidRPr="007F0A84">
        <w:rPr>
          <w:spacing w:val="-6"/>
          <w:sz w:val="22"/>
          <w:szCs w:val="22"/>
        </w:rPr>
        <w:t xml:space="preserve"> </w:t>
      </w:r>
      <w:r w:rsidR="005410B9" w:rsidRPr="007F0A84">
        <w:rPr>
          <w:sz w:val="22"/>
          <w:szCs w:val="22"/>
        </w:rPr>
        <w:t>and</w:t>
      </w:r>
      <w:r w:rsidR="005410B9" w:rsidRPr="007F0A84">
        <w:rPr>
          <w:spacing w:val="-6"/>
          <w:sz w:val="22"/>
          <w:szCs w:val="22"/>
        </w:rPr>
        <w:t xml:space="preserve"> </w:t>
      </w:r>
      <w:r w:rsidR="005410B9" w:rsidRPr="007F0A84">
        <w:rPr>
          <w:sz w:val="22"/>
          <w:szCs w:val="22"/>
        </w:rPr>
        <w:t>the</w:t>
      </w:r>
      <w:r w:rsidR="005410B9" w:rsidRPr="007F0A84">
        <w:rPr>
          <w:spacing w:val="-6"/>
          <w:sz w:val="22"/>
          <w:szCs w:val="22"/>
        </w:rPr>
        <w:t xml:space="preserve"> </w:t>
      </w:r>
      <w:r w:rsidR="005410B9" w:rsidRPr="007F0A84">
        <w:rPr>
          <w:sz w:val="22"/>
          <w:szCs w:val="22"/>
        </w:rPr>
        <w:t>rationale</w:t>
      </w:r>
      <w:r w:rsidR="005410B9" w:rsidRPr="007F0A84">
        <w:rPr>
          <w:spacing w:val="-6"/>
          <w:sz w:val="22"/>
          <w:szCs w:val="22"/>
        </w:rPr>
        <w:t xml:space="preserve"> </w:t>
      </w:r>
      <w:r w:rsidR="005410B9" w:rsidRPr="007F0A84">
        <w:rPr>
          <w:sz w:val="22"/>
          <w:szCs w:val="22"/>
        </w:rPr>
        <w:t>for</w:t>
      </w:r>
      <w:r w:rsidR="005410B9" w:rsidRPr="007F0A84">
        <w:rPr>
          <w:spacing w:val="-6"/>
          <w:sz w:val="22"/>
          <w:szCs w:val="22"/>
        </w:rPr>
        <w:t xml:space="preserve"> </w:t>
      </w:r>
      <w:r w:rsidR="005410B9" w:rsidRPr="007F0A84">
        <w:rPr>
          <w:sz w:val="22"/>
          <w:szCs w:val="22"/>
        </w:rPr>
        <w:t>rejecting</w:t>
      </w:r>
      <w:r w:rsidR="005410B9" w:rsidRPr="007F0A84">
        <w:rPr>
          <w:spacing w:val="-6"/>
          <w:sz w:val="22"/>
          <w:szCs w:val="22"/>
        </w:rPr>
        <w:t xml:space="preserve"> </w:t>
      </w:r>
      <w:r w:rsidR="005410B9" w:rsidRPr="007F0A84">
        <w:rPr>
          <w:sz w:val="22"/>
          <w:szCs w:val="22"/>
        </w:rPr>
        <w:t>those</w:t>
      </w:r>
      <w:r w:rsidR="005410B9" w:rsidRPr="007F0A84">
        <w:rPr>
          <w:spacing w:val="-6"/>
          <w:sz w:val="22"/>
          <w:szCs w:val="22"/>
        </w:rPr>
        <w:t xml:space="preserve"> </w:t>
      </w:r>
      <w:r w:rsidR="005410B9" w:rsidRPr="007F0A84">
        <w:rPr>
          <w:sz w:val="22"/>
          <w:szCs w:val="22"/>
        </w:rPr>
        <w:t>factors.</w:t>
      </w:r>
    </w:p>
    <w:p w14:paraId="2E338CC6" w14:textId="012249FE" w:rsidR="00CD04D9" w:rsidRPr="00820BA4"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0AAC453A" w14:textId="77777777" w:rsidR="00CD04D9" w:rsidRPr="000C55E8" w:rsidRDefault="00CD04D9" w:rsidP="00CD04D9">
      <w:pPr>
        <w:pStyle w:val="BodyText"/>
        <w:spacing w:before="223" w:line="264" w:lineRule="auto"/>
        <w:rPr>
          <w:b/>
          <w:bCs/>
          <w:sz w:val="22"/>
          <w:szCs w:val="22"/>
        </w:rPr>
      </w:pPr>
      <w:r w:rsidRPr="000C55E8">
        <w:rPr>
          <w:b/>
          <w:bCs/>
          <w:sz w:val="22"/>
          <w:szCs w:val="22"/>
        </w:rPr>
        <w:t>Inpatient, in-network:</w:t>
      </w:r>
    </w:p>
    <w:p w14:paraId="0DE86584" w14:textId="77777777" w:rsidR="00CD04D9" w:rsidRPr="007F0A84" w:rsidRDefault="00CD04D9" w:rsidP="00CD04D9">
      <w:pPr>
        <w:pStyle w:val="BodyText"/>
        <w:spacing w:before="223" w:line="264" w:lineRule="auto"/>
        <w:rPr>
          <w:sz w:val="22"/>
          <w:szCs w:val="22"/>
        </w:rPr>
      </w:pPr>
    </w:p>
    <w:p w14:paraId="278B2935" w14:textId="77777777" w:rsidR="00CD04D9" w:rsidRPr="007F0A84" w:rsidRDefault="00CD04D9" w:rsidP="00CD04D9">
      <w:pPr>
        <w:pStyle w:val="BodyText"/>
        <w:spacing w:before="223" w:line="264" w:lineRule="auto"/>
        <w:rPr>
          <w:b/>
          <w:bCs/>
          <w:sz w:val="22"/>
          <w:szCs w:val="22"/>
        </w:rPr>
      </w:pPr>
      <w:r w:rsidRPr="007F0A84">
        <w:rPr>
          <w:b/>
          <w:bCs/>
          <w:sz w:val="22"/>
          <w:szCs w:val="22"/>
        </w:rPr>
        <w:t>Inpatient, out-of-network:</w:t>
      </w:r>
    </w:p>
    <w:p w14:paraId="20B8AF32" w14:textId="77777777" w:rsidR="00CD04D9" w:rsidRPr="007F0A84" w:rsidRDefault="00CD04D9" w:rsidP="00CD04D9">
      <w:pPr>
        <w:pStyle w:val="BodyText"/>
        <w:spacing w:before="223" w:line="264" w:lineRule="auto"/>
        <w:rPr>
          <w:b/>
          <w:bCs/>
          <w:sz w:val="22"/>
          <w:szCs w:val="22"/>
        </w:rPr>
      </w:pPr>
    </w:p>
    <w:p w14:paraId="6825DBF1" w14:textId="77777777" w:rsidR="00CD04D9" w:rsidRPr="007F0A84" w:rsidRDefault="00CD04D9" w:rsidP="00CD04D9">
      <w:pPr>
        <w:pStyle w:val="BodyText"/>
        <w:spacing w:before="223" w:line="264" w:lineRule="auto"/>
        <w:rPr>
          <w:b/>
          <w:bCs/>
          <w:sz w:val="22"/>
          <w:szCs w:val="22"/>
        </w:rPr>
      </w:pPr>
      <w:r w:rsidRPr="007F0A84">
        <w:rPr>
          <w:b/>
          <w:bCs/>
          <w:sz w:val="22"/>
          <w:szCs w:val="22"/>
        </w:rPr>
        <w:t>Outpatient, in-network:</w:t>
      </w:r>
    </w:p>
    <w:p w14:paraId="0F739108" w14:textId="77777777" w:rsidR="00CD04D9" w:rsidRPr="007F0A84" w:rsidRDefault="00CD04D9" w:rsidP="00CD04D9">
      <w:pPr>
        <w:pStyle w:val="BodyText"/>
        <w:spacing w:before="223" w:line="264" w:lineRule="auto"/>
        <w:rPr>
          <w:b/>
          <w:bCs/>
          <w:sz w:val="22"/>
          <w:szCs w:val="22"/>
        </w:rPr>
      </w:pPr>
    </w:p>
    <w:p w14:paraId="5F8FA9A2"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256BA1DE"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2D2D7859" w14:textId="77777777" w:rsidR="00CD04D9" w:rsidRPr="007F0A84" w:rsidRDefault="00CD04D9" w:rsidP="00CD04D9">
      <w:pPr>
        <w:pStyle w:val="BodyText"/>
        <w:spacing w:before="223" w:line="264" w:lineRule="auto"/>
        <w:rPr>
          <w:b/>
          <w:bCs/>
          <w:sz w:val="22"/>
          <w:szCs w:val="22"/>
        </w:rPr>
      </w:pPr>
    </w:p>
    <w:p w14:paraId="446EB8BC"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66B1EC4C" w14:textId="77777777" w:rsidR="00CD04D9" w:rsidRPr="007F0A84" w:rsidRDefault="00CD04D9" w:rsidP="00CD04D9">
      <w:pPr>
        <w:pStyle w:val="BodyText"/>
        <w:spacing w:before="223" w:line="264" w:lineRule="auto"/>
        <w:rPr>
          <w:b/>
          <w:bCs/>
          <w:sz w:val="22"/>
          <w:szCs w:val="22"/>
        </w:rPr>
      </w:pPr>
    </w:p>
    <w:p w14:paraId="52C2FDF1" w14:textId="77777777" w:rsidR="00CD04D9" w:rsidRPr="007F0A84" w:rsidRDefault="00CD04D9" w:rsidP="00CD04D9">
      <w:pPr>
        <w:pStyle w:val="BodyText"/>
        <w:spacing w:before="223" w:line="264" w:lineRule="auto"/>
        <w:rPr>
          <w:b/>
          <w:bCs/>
          <w:sz w:val="22"/>
          <w:szCs w:val="22"/>
        </w:rPr>
      </w:pPr>
      <w:r w:rsidRPr="007F0A84">
        <w:rPr>
          <w:b/>
          <w:bCs/>
          <w:sz w:val="22"/>
          <w:szCs w:val="22"/>
        </w:rPr>
        <w:t>Outpatient, out-of-network:</w:t>
      </w:r>
    </w:p>
    <w:p w14:paraId="1D94FAB1" w14:textId="77777777" w:rsidR="00CD04D9" w:rsidRPr="007F0A84" w:rsidRDefault="00CD04D9" w:rsidP="00CD04D9">
      <w:pPr>
        <w:pStyle w:val="BodyText"/>
        <w:spacing w:before="223" w:line="264" w:lineRule="auto"/>
        <w:rPr>
          <w:b/>
          <w:bCs/>
          <w:sz w:val="22"/>
          <w:szCs w:val="22"/>
        </w:rPr>
      </w:pPr>
    </w:p>
    <w:p w14:paraId="7762209B"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0A89BF04"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6171B4B9" w14:textId="77777777" w:rsidR="00CD04D9" w:rsidRPr="007F0A84" w:rsidRDefault="00CD04D9" w:rsidP="00CD04D9">
      <w:pPr>
        <w:pStyle w:val="BodyText"/>
        <w:spacing w:before="223" w:line="264" w:lineRule="auto"/>
        <w:rPr>
          <w:b/>
          <w:bCs/>
          <w:sz w:val="22"/>
          <w:szCs w:val="22"/>
        </w:rPr>
      </w:pPr>
    </w:p>
    <w:p w14:paraId="622F06DB"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4126DDBE" w14:textId="77777777" w:rsidR="00CD04D9" w:rsidRPr="007F0A84" w:rsidRDefault="00CD04D9" w:rsidP="00CD04D9">
      <w:pPr>
        <w:pStyle w:val="BodyText"/>
        <w:spacing w:before="223" w:line="264" w:lineRule="auto"/>
        <w:rPr>
          <w:b/>
          <w:bCs/>
          <w:sz w:val="22"/>
          <w:szCs w:val="22"/>
        </w:rPr>
      </w:pPr>
    </w:p>
    <w:p w14:paraId="0B15A83B" w14:textId="77777777" w:rsidR="00CD04D9" w:rsidRPr="007F0A84" w:rsidRDefault="00CD04D9" w:rsidP="00CD04D9">
      <w:pPr>
        <w:pStyle w:val="BodyText"/>
        <w:spacing w:before="223" w:line="264" w:lineRule="auto"/>
        <w:rPr>
          <w:b/>
          <w:bCs/>
          <w:sz w:val="22"/>
          <w:szCs w:val="22"/>
        </w:rPr>
      </w:pPr>
      <w:r w:rsidRPr="007F0A84">
        <w:rPr>
          <w:b/>
          <w:bCs/>
          <w:sz w:val="22"/>
          <w:szCs w:val="22"/>
        </w:rPr>
        <w:t>Emergency:</w:t>
      </w:r>
    </w:p>
    <w:p w14:paraId="58E3899E" w14:textId="77777777" w:rsidR="00CD04D9" w:rsidRPr="007F0A84" w:rsidRDefault="00CD04D9" w:rsidP="00CD04D9">
      <w:pPr>
        <w:pStyle w:val="BodyText"/>
        <w:spacing w:before="223" w:line="264" w:lineRule="auto"/>
        <w:rPr>
          <w:b/>
          <w:bCs/>
          <w:sz w:val="22"/>
          <w:szCs w:val="22"/>
        </w:rPr>
      </w:pPr>
    </w:p>
    <w:p w14:paraId="2C23565B" w14:textId="77777777" w:rsidR="00CD04D9" w:rsidRPr="007F0A84" w:rsidRDefault="00CD04D9" w:rsidP="00CD04D9">
      <w:pPr>
        <w:pStyle w:val="BodyText"/>
        <w:spacing w:before="223" w:line="264" w:lineRule="auto"/>
        <w:rPr>
          <w:b/>
          <w:bCs/>
          <w:sz w:val="22"/>
          <w:szCs w:val="22"/>
        </w:rPr>
      </w:pPr>
      <w:r w:rsidRPr="007F0A84">
        <w:rPr>
          <w:b/>
          <w:bCs/>
          <w:sz w:val="22"/>
          <w:szCs w:val="22"/>
        </w:rPr>
        <w:t>Prescription drug:</w:t>
      </w:r>
    </w:p>
    <w:p w14:paraId="2F50126A" w14:textId="43A19288" w:rsidR="005410B9" w:rsidRDefault="005410B9" w:rsidP="00F01953">
      <w:pPr>
        <w:pStyle w:val="BodyText"/>
        <w:spacing w:before="8"/>
        <w:rPr>
          <w:sz w:val="22"/>
          <w:szCs w:val="22"/>
        </w:rPr>
      </w:pPr>
    </w:p>
    <w:p w14:paraId="287F4AB3" w14:textId="77777777" w:rsidR="00820BA4" w:rsidRPr="007F0A84" w:rsidRDefault="00820BA4" w:rsidP="00F01953">
      <w:pPr>
        <w:pStyle w:val="BodyText"/>
        <w:spacing w:before="8"/>
        <w:rPr>
          <w:sz w:val="22"/>
          <w:szCs w:val="22"/>
        </w:rPr>
      </w:pPr>
    </w:p>
    <w:p w14:paraId="604D1E28" w14:textId="77777777" w:rsidR="005410B9" w:rsidRPr="007F0A84" w:rsidRDefault="005410B9" w:rsidP="000C1D07">
      <w:pPr>
        <w:pStyle w:val="BodyText"/>
        <w:spacing w:before="89" w:line="264" w:lineRule="auto"/>
        <w:ind w:right="1381"/>
        <w:rPr>
          <w:b/>
          <w:sz w:val="22"/>
          <w:szCs w:val="22"/>
        </w:rPr>
      </w:pPr>
      <w:r w:rsidRPr="007F0A84">
        <w:rPr>
          <w:b/>
          <w:sz w:val="22"/>
          <w:szCs w:val="22"/>
        </w:rPr>
        <w:t>Step 3: Identify and describe the evidentiary standard for each of the factors identified in step 2 and any other evidence relied upon to design and apply the NQTL.</w:t>
      </w:r>
    </w:p>
    <w:p w14:paraId="098AC7AA" w14:textId="3BA7B3AE" w:rsidR="005410B9" w:rsidRPr="007F0A84" w:rsidRDefault="007B53DD" w:rsidP="000C1D07">
      <w:pPr>
        <w:pStyle w:val="BodyText"/>
        <w:spacing w:before="89" w:line="264" w:lineRule="auto"/>
        <w:ind w:right="1381"/>
        <w:rPr>
          <w:sz w:val="22"/>
          <w:szCs w:val="22"/>
        </w:rPr>
      </w:pPr>
      <w:r w:rsidRPr="007F0A84">
        <w:rPr>
          <w:sz w:val="22"/>
          <w:szCs w:val="22"/>
        </w:rPr>
        <w:t>Demonstrate</w:t>
      </w:r>
      <w:r w:rsidR="005410B9" w:rsidRPr="007F0A84">
        <w:rPr>
          <w:sz w:val="22"/>
          <w:szCs w:val="22"/>
        </w:rPr>
        <w:t xml:space="preserve"> that the evidentiary standard(s) used to define factors identified in Step 2 and any other evidence relied upon to establish the NQTL for MH/SUD benefits are comparable to and applied no more stringently than the evidentiary standard(s) used to define factors and any other evidence relied upon to establish the NQTL for medical/surgical benefits. Describe evidentiary standards that were considered, but rejected and the rationale for rejecting those evidentiary standards.</w:t>
      </w:r>
    </w:p>
    <w:p w14:paraId="2C1A8426" w14:textId="77777777" w:rsidR="005410B9" w:rsidRPr="007F0A84" w:rsidRDefault="005410B9" w:rsidP="000C1D07">
      <w:pPr>
        <w:pStyle w:val="BodyText"/>
        <w:spacing w:before="3"/>
        <w:rPr>
          <w:sz w:val="22"/>
          <w:szCs w:val="22"/>
        </w:rPr>
      </w:pPr>
    </w:p>
    <w:p w14:paraId="104C72E9" w14:textId="3D6AEA2C" w:rsidR="005410B9" w:rsidRPr="007F0A84" w:rsidRDefault="005410B9" w:rsidP="000C1D07">
      <w:pPr>
        <w:pStyle w:val="BodyText"/>
        <w:spacing w:line="264" w:lineRule="auto"/>
        <w:ind w:right="1163"/>
        <w:rPr>
          <w:sz w:val="22"/>
          <w:szCs w:val="22"/>
        </w:rPr>
      </w:pPr>
      <w:r w:rsidRPr="007F0A84">
        <w:rPr>
          <w:b/>
          <w:sz w:val="22"/>
          <w:szCs w:val="22"/>
        </w:rPr>
        <w:t>Please note the term “evidentiary standards” is not limited to a means for defining “factors”.</w:t>
      </w:r>
      <w:r w:rsidRPr="007F0A84">
        <w:rPr>
          <w:sz w:val="22"/>
          <w:szCs w:val="22"/>
        </w:rPr>
        <w:t xml:space="preserve"> Evidentiary standards also include all evidence a plan considers in designing and applying its medical management techniques, such as recognized medical literature, professional standards and protocols (including comparative effectiveness studies and clinical trials), published research studies, treatment guidelines created by professional medical associations or other third-party entities, publicly available or proprietary clinical definitions, and outcome metrics from consulting or other organizations.</w:t>
      </w:r>
    </w:p>
    <w:p w14:paraId="49A6814F" w14:textId="13BBA00C" w:rsidR="0012342C" w:rsidRPr="007F0A84" w:rsidRDefault="0012342C" w:rsidP="000C1D07">
      <w:pPr>
        <w:pStyle w:val="BodyText"/>
        <w:spacing w:line="264" w:lineRule="auto"/>
        <w:ind w:right="1163"/>
        <w:rPr>
          <w:sz w:val="22"/>
          <w:szCs w:val="22"/>
        </w:rPr>
      </w:pPr>
    </w:p>
    <w:p w14:paraId="267E7FBE" w14:textId="0131330F" w:rsidR="00CD04D9" w:rsidRPr="00820BA4"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5DF771D1" w14:textId="77777777" w:rsidR="00CD04D9" w:rsidRPr="000C55E8" w:rsidRDefault="00CD04D9" w:rsidP="00CD04D9">
      <w:pPr>
        <w:pStyle w:val="BodyText"/>
        <w:spacing w:before="223" w:line="264" w:lineRule="auto"/>
        <w:rPr>
          <w:b/>
          <w:bCs/>
          <w:sz w:val="22"/>
          <w:szCs w:val="22"/>
        </w:rPr>
      </w:pPr>
      <w:r w:rsidRPr="000C55E8">
        <w:rPr>
          <w:b/>
          <w:bCs/>
          <w:sz w:val="22"/>
          <w:szCs w:val="22"/>
        </w:rPr>
        <w:t>Inpatient, in-network:</w:t>
      </w:r>
    </w:p>
    <w:p w14:paraId="78D637F0" w14:textId="77777777" w:rsidR="00CD04D9" w:rsidRPr="007F0A84" w:rsidRDefault="00CD04D9" w:rsidP="00CD04D9">
      <w:pPr>
        <w:pStyle w:val="BodyText"/>
        <w:spacing w:before="223" w:line="264" w:lineRule="auto"/>
        <w:rPr>
          <w:sz w:val="22"/>
          <w:szCs w:val="22"/>
        </w:rPr>
      </w:pPr>
    </w:p>
    <w:p w14:paraId="4D2CEA4C" w14:textId="77777777" w:rsidR="00CD04D9" w:rsidRPr="007F0A84" w:rsidRDefault="00CD04D9" w:rsidP="00CD04D9">
      <w:pPr>
        <w:pStyle w:val="BodyText"/>
        <w:spacing w:before="223" w:line="264" w:lineRule="auto"/>
        <w:rPr>
          <w:b/>
          <w:bCs/>
          <w:sz w:val="22"/>
          <w:szCs w:val="22"/>
        </w:rPr>
      </w:pPr>
      <w:r w:rsidRPr="007F0A84">
        <w:rPr>
          <w:b/>
          <w:bCs/>
          <w:sz w:val="22"/>
          <w:szCs w:val="22"/>
        </w:rPr>
        <w:t>Inpatient, out-of-network:</w:t>
      </w:r>
    </w:p>
    <w:p w14:paraId="4F25460B" w14:textId="77777777" w:rsidR="00CD04D9" w:rsidRPr="007F0A84" w:rsidRDefault="00CD04D9" w:rsidP="00CD04D9">
      <w:pPr>
        <w:pStyle w:val="BodyText"/>
        <w:spacing w:before="223" w:line="264" w:lineRule="auto"/>
        <w:rPr>
          <w:b/>
          <w:bCs/>
          <w:sz w:val="22"/>
          <w:szCs w:val="22"/>
        </w:rPr>
      </w:pPr>
    </w:p>
    <w:p w14:paraId="63FCE511" w14:textId="77777777" w:rsidR="00CD04D9" w:rsidRPr="007F0A84" w:rsidRDefault="00CD04D9" w:rsidP="00CD04D9">
      <w:pPr>
        <w:pStyle w:val="BodyText"/>
        <w:spacing w:before="223" w:line="264" w:lineRule="auto"/>
        <w:rPr>
          <w:b/>
          <w:bCs/>
          <w:sz w:val="22"/>
          <w:szCs w:val="22"/>
        </w:rPr>
      </w:pPr>
      <w:r w:rsidRPr="007F0A84">
        <w:rPr>
          <w:b/>
          <w:bCs/>
          <w:sz w:val="22"/>
          <w:szCs w:val="22"/>
        </w:rPr>
        <w:t>Outpatient, in-network:</w:t>
      </w:r>
    </w:p>
    <w:p w14:paraId="77ECAB8B" w14:textId="77777777" w:rsidR="00CD04D9" w:rsidRPr="007F0A84" w:rsidRDefault="00CD04D9" w:rsidP="00CD04D9">
      <w:pPr>
        <w:pStyle w:val="BodyText"/>
        <w:spacing w:before="223" w:line="264" w:lineRule="auto"/>
        <w:rPr>
          <w:b/>
          <w:bCs/>
          <w:sz w:val="22"/>
          <w:szCs w:val="22"/>
        </w:rPr>
      </w:pPr>
    </w:p>
    <w:p w14:paraId="4D7DE2B0"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716E690E"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33C1263D" w14:textId="77777777" w:rsidR="00CD04D9" w:rsidRPr="007F0A84" w:rsidRDefault="00CD04D9" w:rsidP="00CD04D9">
      <w:pPr>
        <w:pStyle w:val="BodyText"/>
        <w:spacing w:before="223" w:line="264" w:lineRule="auto"/>
        <w:rPr>
          <w:b/>
          <w:bCs/>
          <w:sz w:val="22"/>
          <w:szCs w:val="22"/>
        </w:rPr>
      </w:pPr>
    </w:p>
    <w:p w14:paraId="13E4B839"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487C0FD0" w14:textId="77777777" w:rsidR="00CD04D9" w:rsidRPr="007F0A84" w:rsidRDefault="00CD04D9" w:rsidP="00CD04D9">
      <w:pPr>
        <w:pStyle w:val="BodyText"/>
        <w:spacing w:before="223" w:line="264" w:lineRule="auto"/>
        <w:rPr>
          <w:b/>
          <w:bCs/>
          <w:sz w:val="22"/>
          <w:szCs w:val="22"/>
        </w:rPr>
      </w:pPr>
    </w:p>
    <w:p w14:paraId="5A7785BD" w14:textId="77777777" w:rsidR="00CD04D9" w:rsidRPr="007F0A84" w:rsidRDefault="00CD04D9" w:rsidP="00CD04D9">
      <w:pPr>
        <w:pStyle w:val="BodyText"/>
        <w:spacing w:before="223" w:line="264" w:lineRule="auto"/>
        <w:rPr>
          <w:b/>
          <w:bCs/>
          <w:sz w:val="22"/>
          <w:szCs w:val="22"/>
        </w:rPr>
      </w:pPr>
      <w:r w:rsidRPr="007F0A84">
        <w:rPr>
          <w:b/>
          <w:bCs/>
          <w:sz w:val="22"/>
          <w:szCs w:val="22"/>
        </w:rPr>
        <w:t>Outpatient, out-of-network:</w:t>
      </w:r>
    </w:p>
    <w:p w14:paraId="36528212" w14:textId="77777777" w:rsidR="00CD04D9" w:rsidRPr="007F0A84" w:rsidRDefault="00CD04D9" w:rsidP="00CD04D9">
      <w:pPr>
        <w:pStyle w:val="BodyText"/>
        <w:spacing w:before="223" w:line="264" w:lineRule="auto"/>
        <w:rPr>
          <w:b/>
          <w:bCs/>
          <w:sz w:val="22"/>
          <w:szCs w:val="22"/>
        </w:rPr>
      </w:pPr>
    </w:p>
    <w:p w14:paraId="1654C149"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4C87D1B4"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1184CB79" w14:textId="77777777" w:rsidR="00CD04D9" w:rsidRPr="007F0A84" w:rsidRDefault="00CD04D9" w:rsidP="00CD04D9">
      <w:pPr>
        <w:pStyle w:val="BodyText"/>
        <w:spacing w:before="223" w:line="264" w:lineRule="auto"/>
        <w:rPr>
          <w:b/>
          <w:bCs/>
          <w:sz w:val="22"/>
          <w:szCs w:val="22"/>
        </w:rPr>
      </w:pPr>
    </w:p>
    <w:p w14:paraId="2E7E95B5"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494215CC" w14:textId="77777777" w:rsidR="00CD04D9" w:rsidRPr="007F0A84" w:rsidRDefault="00CD04D9" w:rsidP="00CD04D9">
      <w:pPr>
        <w:pStyle w:val="BodyText"/>
        <w:spacing w:before="223" w:line="264" w:lineRule="auto"/>
        <w:rPr>
          <w:b/>
          <w:bCs/>
          <w:sz w:val="22"/>
          <w:szCs w:val="22"/>
        </w:rPr>
      </w:pPr>
    </w:p>
    <w:p w14:paraId="074B132C" w14:textId="77777777" w:rsidR="00CD04D9" w:rsidRPr="007F0A84" w:rsidRDefault="00CD04D9" w:rsidP="00CD04D9">
      <w:pPr>
        <w:pStyle w:val="BodyText"/>
        <w:spacing w:before="223" w:line="264" w:lineRule="auto"/>
        <w:rPr>
          <w:b/>
          <w:bCs/>
          <w:sz w:val="22"/>
          <w:szCs w:val="22"/>
        </w:rPr>
      </w:pPr>
      <w:r w:rsidRPr="007F0A84">
        <w:rPr>
          <w:b/>
          <w:bCs/>
          <w:sz w:val="22"/>
          <w:szCs w:val="22"/>
        </w:rPr>
        <w:t>Emergency:</w:t>
      </w:r>
    </w:p>
    <w:p w14:paraId="662B2D37" w14:textId="77777777" w:rsidR="00CD04D9" w:rsidRPr="007F0A84" w:rsidRDefault="00CD04D9" w:rsidP="00CD04D9">
      <w:pPr>
        <w:pStyle w:val="BodyText"/>
        <w:spacing w:before="223" w:line="264" w:lineRule="auto"/>
        <w:rPr>
          <w:b/>
          <w:bCs/>
          <w:sz w:val="22"/>
          <w:szCs w:val="22"/>
        </w:rPr>
      </w:pPr>
    </w:p>
    <w:p w14:paraId="21727398" w14:textId="77777777" w:rsidR="00CD04D9" w:rsidRPr="007F0A84" w:rsidRDefault="00CD04D9" w:rsidP="00CD04D9">
      <w:pPr>
        <w:pStyle w:val="BodyText"/>
        <w:spacing w:before="223" w:line="264" w:lineRule="auto"/>
        <w:rPr>
          <w:b/>
          <w:bCs/>
          <w:sz w:val="22"/>
          <w:szCs w:val="22"/>
        </w:rPr>
      </w:pPr>
      <w:r w:rsidRPr="007F0A84">
        <w:rPr>
          <w:b/>
          <w:bCs/>
          <w:sz w:val="22"/>
          <w:szCs w:val="22"/>
        </w:rPr>
        <w:t>Prescription drug:</w:t>
      </w:r>
    </w:p>
    <w:p w14:paraId="1FF7B8DD" w14:textId="77777777" w:rsidR="0012342C" w:rsidRPr="007F0A84" w:rsidRDefault="0012342C" w:rsidP="000C1D07">
      <w:pPr>
        <w:pStyle w:val="BodyText"/>
        <w:spacing w:line="264" w:lineRule="auto"/>
        <w:ind w:right="1163"/>
        <w:rPr>
          <w:sz w:val="22"/>
          <w:szCs w:val="22"/>
        </w:rPr>
      </w:pPr>
    </w:p>
    <w:p w14:paraId="4F4F9B86" w14:textId="77777777" w:rsidR="005410B9" w:rsidRPr="007F0A84" w:rsidRDefault="005410B9" w:rsidP="000C1D07">
      <w:pPr>
        <w:pStyle w:val="BodyText"/>
        <w:spacing w:before="2"/>
        <w:rPr>
          <w:sz w:val="22"/>
          <w:szCs w:val="22"/>
        </w:rPr>
      </w:pPr>
    </w:p>
    <w:p w14:paraId="3C0E5259" w14:textId="77777777" w:rsidR="005410B9" w:rsidRPr="007F0A84" w:rsidRDefault="005410B9" w:rsidP="000C1D07">
      <w:pPr>
        <w:pStyle w:val="BodyText"/>
        <w:spacing w:line="264" w:lineRule="auto"/>
        <w:ind w:right="1056"/>
        <w:rPr>
          <w:b/>
          <w:sz w:val="22"/>
          <w:szCs w:val="22"/>
        </w:rPr>
      </w:pPr>
      <w:r w:rsidRPr="007F0A84">
        <w:rPr>
          <w:b/>
          <w:sz w:val="22"/>
          <w:szCs w:val="22"/>
        </w:rPr>
        <w:t>Step 4: Provide the comparative analyses used to determine as written comparability and equivalent stringency.</w:t>
      </w:r>
    </w:p>
    <w:p w14:paraId="0C7A050A" w14:textId="77777777" w:rsidR="005410B9" w:rsidRPr="007F0A84" w:rsidRDefault="005410B9" w:rsidP="000C1D07">
      <w:pPr>
        <w:pStyle w:val="BodyText"/>
        <w:spacing w:line="264" w:lineRule="auto"/>
        <w:ind w:right="1056"/>
        <w:rPr>
          <w:sz w:val="22"/>
          <w:szCs w:val="22"/>
        </w:rPr>
      </w:pPr>
    </w:p>
    <w:p w14:paraId="402008E7" w14:textId="77777777" w:rsidR="005410B9" w:rsidRPr="007F0A84" w:rsidRDefault="005410B9" w:rsidP="000C1D07">
      <w:pPr>
        <w:pStyle w:val="BodyText"/>
        <w:spacing w:line="264" w:lineRule="auto"/>
        <w:ind w:right="1056"/>
        <w:rPr>
          <w:sz w:val="22"/>
          <w:szCs w:val="22"/>
        </w:rPr>
      </w:pPr>
      <w:r w:rsidRPr="007F0A84">
        <w:rPr>
          <w:sz w:val="22"/>
          <w:szCs w:val="22"/>
        </w:rPr>
        <w:t>Provide the comparative analyses demonstrating that the processes and strategies used to design the NQTL, as written, for MH/SUD benefits are comparable to and no more stringently applied than the processes and strategies used to design the NQTL, as written, for medical/ surgical benefits.</w:t>
      </w:r>
    </w:p>
    <w:p w14:paraId="28026F92" w14:textId="77777777" w:rsidR="005410B9" w:rsidRPr="007F0A84" w:rsidRDefault="005410B9" w:rsidP="000C1D07">
      <w:pPr>
        <w:pStyle w:val="BodyText"/>
        <w:spacing w:before="4"/>
        <w:rPr>
          <w:sz w:val="22"/>
          <w:szCs w:val="22"/>
        </w:rPr>
      </w:pPr>
    </w:p>
    <w:p w14:paraId="007EEBDD" w14:textId="77777777" w:rsidR="005410B9" w:rsidRPr="007F0A84" w:rsidRDefault="005410B9" w:rsidP="000C1D07">
      <w:pPr>
        <w:pStyle w:val="BodyText"/>
        <w:spacing w:line="264" w:lineRule="auto"/>
        <w:ind w:right="1056"/>
        <w:rPr>
          <w:sz w:val="22"/>
          <w:szCs w:val="22"/>
        </w:rPr>
      </w:pPr>
      <w:r w:rsidRPr="007F0A84">
        <w:rPr>
          <w:sz w:val="22"/>
          <w:szCs w:val="22"/>
        </w:rPr>
        <w:t>Processes and strategies used to design NQTLs as written include, but are not limited to, the composition and deliberations of decision-making staff, i.e. the number of staff members allocated, time allocated, qualifications of staff involved, breadth of sources and evidence considered, deviation from generally accepted standards of care, consultations with panels of experts, and reliance on national treatment guidelines or guidelines provided by third-party organizations.</w:t>
      </w:r>
    </w:p>
    <w:p w14:paraId="202B3D20" w14:textId="77777777" w:rsidR="005410B9" w:rsidRPr="007F0A84" w:rsidRDefault="005410B9" w:rsidP="000C1D07">
      <w:pPr>
        <w:pStyle w:val="BodyText"/>
        <w:spacing w:line="264" w:lineRule="auto"/>
        <w:ind w:right="1056"/>
        <w:rPr>
          <w:sz w:val="22"/>
          <w:szCs w:val="22"/>
        </w:rPr>
      </w:pPr>
    </w:p>
    <w:p w14:paraId="35D4C52D" w14:textId="77777777" w:rsidR="005410B9" w:rsidRPr="007F0A84" w:rsidRDefault="005410B9" w:rsidP="000C1D07">
      <w:pPr>
        <w:pStyle w:val="BodyText"/>
        <w:spacing w:line="264" w:lineRule="auto"/>
        <w:ind w:right="1056"/>
        <w:rPr>
          <w:sz w:val="22"/>
          <w:szCs w:val="22"/>
        </w:rPr>
      </w:pPr>
      <w:r w:rsidRPr="007F0A84">
        <w:rPr>
          <w:sz w:val="22"/>
          <w:szCs w:val="22"/>
        </w:rPr>
        <w:t xml:space="preserve">Additional as written processes may include, but are not limited to, utilization management manuals, utilization review criteria, specific criteria hierarchy for performing utilization review, factors considered when applying utilization review criteria, initial screening scripts and algorithms, case management referral criteria, stipulations about submitting written treatment plans, utilization management committee and/or quality management committee </w:t>
      </w:r>
      <w:r w:rsidRPr="007F0A84">
        <w:rPr>
          <w:sz w:val="22"/>
          <w:szCs w:val="22"/>
        </w:rPr>
        <w:lastRenderedPageBreak/>
        <w:t>notes, description of processes for identifying and evaluating clinical issues and utilizing performance goals, delegation agreements, network contracting information, factors that determine reimbursement rates, among others.</w:t>
      </w:r>
    </w:p>
    <w:p w14:paraId="3E9D1871" w14:textId="77777777" w:rsidR="005410B9" w:rsidRPr="007F0A84" w:rsidRDefault="005410B9" w:rsidP="000C1D07">
      <w:pPr>
        <w:pStyle w:val="BodyText"/>
        <w:spacing w:before="4"/>
        <w:rPr>
          <w:sz w:val="22"/>
          <w:szCs w:val="22"/>
        </w:rPr>
      </w:pPr>
    </w:p>
    <w:p w14:paraId="2BBF74FA" w14:textId="1BA411EB" w:rsidR="005410B9" w:rsidRPr="007F0A84" w:rsidRDefault="005410B9" w:rsidP="000C1D07">
      <w:pPr>
        <w:pStyle w:val="BodyText"/>
        <w:spacing w:line="264" w:lineRule="auto"/>
        <w:ind w:right="1056"/>
        <w:rPr>
          <w:sz w:val="22"/>
          <w:szCs w:val="22"/>
        </w:rPr>
      </w:pPr>
      <w:r w:rsidRPr="007F0A84">
        <w:rPr>
          <w:sz w:val="22"/>
          <w:szCs w:val="22"/>
        </w:rPr>
        <w:t>Include the results and conclusions from these analyses that clearly substantiate the NQTL regulatory tests of comparability and equitable application have been met.</w:t>
      </w:r>
    </w:p>
    <w:p w14:paraId="005024D0" w14:textId="1DA0FB22" w:rsidR="0012342C" w:rsidRPr="007F0A84" w:rsidRDefault="0012342C" w:rsidP="000C1D07">
      <w:pPr>
        <w:pStyle w:val="BodyText"/>
        <w:spacing w:line="264" w:lineRule="auto"/>
        <w:ind w:right="1056"/>
        <w:rPr>
          <w:sz w:val="22"/>
          <w:szCs w:val="22"/>
        </w:rPr>
      </w:pPr>
    </w:p>
    <w:p w14:paraId="15AA34E2" w14:textId="03A8FB59" w:rsidR="00CD04D9" w:rsidRPr="00820BA4"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3DBB7F52" w14:textId="77777777" w:rsidR="00CD04D9" w:rsidRPr="000C55E8" w:rsidRDefault="00CD04D9" w:rsidP="00CD04D9">
      <w:pPr>
        <w:pStyle w:val="BodyText"/>
        <w:spacing w:before="223" w:line="264" w:lineRule="auto"/>
        <w:rPr>
          <w:b/>
          <w:bCs/>
          <w:sz w:val="22"/>
          <w:szCs w:val="22"/>
        </w:rPr>
      </w:pPr>
      <w:r w:rsidRPr="000C55E8">
        <w:rPr>
          <w:b/>
          <w:bCs/>
          <w:sz w:val="22"/>
          <w:szCs w:val="22"/>
        </w:rPr>
        <w:t>Inpatient, in-network:</w:t>
      </w:r>
    </w:p>
    <w:p w14:paraId="5D102FA0" w14:textId="77777777" w:rsidR="00CD04D9" w:rsidRPr="007F0A84" w:rsidRDefault="00CD04D9" w:rsidP="00CD04D9">
      <w:pPr>
        <w:pStyle w:val="BodyText"/>
        <w:spacing w:before="223" w:line="264" w:lineRule="auto"/>
        <w:rPr>
          <w:sz w:val="22"/>
          <w:szCs w:val="22"/>
        </w:rPr>
      </w:pPr>
    </w:p>
    <w:p w14:paraId="50FFE7DD" w14:textId="77777777" w:rsidR="00CD04D9" w:rsidRPr="007F0A84" w:rsidRDefault="00CD04D9" w:rsidP="00CD04D9">
      <w:pPr>
        <w:pStyle w:val="BodyText"/>
        <w:spacing w:before="223" w:line="264" w:lineRule="auto"/>
        <w:rPr>
          <w:b/>
          <w:bCs/>
          <w:sz w:val="22"/>
          <w:szCs w:val="22"/>
        </w:rPr>
      </w:pPr>
      <w:r w:rsidRPr="007F0A84">
        <w:rPr>
          <w:b/>
          <w:bCs/>
          <w:sz w:val="22"/>
          <w:szCs w:val="22"/>
        </w:rPr>
        <w:t>Inpatient, out-of-network:</w:t>
      </w:r>
    </w:p>
    <w:p w14:paraId="046EE1DB" w14:textId="77777777" w:rsidR="00CD04D9" w:rsidRPr="007F0A84" w:rsidRDefault="00CD04D9" w:rsidP="00CD04D9">
      <w:pPr>
        <w:pStyle w:val="BodyText"/>
        <w:spacing w:before="223" w:line="264" w:lineRule="auto"/>
        <w:rPr>
          <w:b/>
          <w:bCs/>
          <w:sz w:val="22"/>
          <w:szCs w:val="22"/>
        </w:rPr>
      </w:pPr>
    </w:p>
    <w:p w14:paraId="2CDB367F" w14:textId="77777777" w:rsidR="00CD04D9" w:rsidRPr="007F0A84" w:rsidRDefault="00CD04D9" w:rsidP="00CD04D9">
      <w:pPr>
        <w:pStyle w:val="BodyText"/>
        <w:spacing w:before="223" w:line="264" w:lineRule="auto"/>
        <w:rPr>
          <w:b/>
          <w:bCs/>
          <w:sz w:val="22"/>
          <w:szCs w:val="22"/>
        </w:rPr>
      </w:pPr>
      <w:r w:rsidRPr="007F0A84">
        <w:rPr>
          <w:b/>
          <w:bCs/>
          <w:sz w:val="22"/>
          <w:szCs w:val="22"/>
        </w:rPr>
        <w:t>Outpatient, in-network:</w:t>
      </w:r>
    </w:p>
    <w:p w14:paraId="70C678DB" w14:textId="77777777" w:rsidR="00CD04D9" w:rsidRPr="007F0A84" w:rsidRDefault="00CD04D9" w:rsidP="00CD04D9">
      <w:pPr>
        <w:pStyle w:val="BodyText"/>
        <w:spacing w:before="223" w:line="264" w:lineRule="auto"/>
        <w:rPr>
          <w:b/>
          <w:bCs/>
          <w:sz w:val="22"/>
          <w:szCs w:val="22"/>
        </w:rPr>
      </w:pPr>
    </w:p>
    <w:p w14:paraId="091757C8"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5F8F4EA0"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17C82818" w14:textId="77777777" w:rsidR="00CD04D9" w:rsidRPr="007F0A84" w:rsidRDefault="00CD04D9" w:rsidP="00CD04D9">
      <w:pPr>
        <w:pStyle w:val="BodyText"/>
        <w:spacing w:before="223" w:line="264" w:lineRule="auto"/>
        <w:rPr>
          <w:b/>
          <w:bCs/>
          <w:sz w:val="22"/>
          <w:szCs w:val="22"/>
        </w:rPr>
      </w:pPr>
    </w:p>
    <w:p w14:paraId="74B6DDA2"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2661838B" w14:textId="77777777" w:rsidR="00CD04D9" w:rsidRPr="007F0A84" w:rsidRDefault="00CD04D9" w:rsidP="00CD04D9">
      <w:pPr>
        <w:pStyle w:val="BodyText"/>
        <w:spacing w:before="223" w:line="264" w:lineRule="auto"/>
        <w:rPr>
          <w:b/>
          <w:bCs/>
          <w:sz w:val="22"/>
          <w:szCs w:val="22"/>
        </w:rPr>
      </w:pPr>
    </w:p>
    <w:p w14:paraId="0600305C" w14:textId="77777777" w:rsidR="00CD04D9" w:rsidRPr="007F0A84" w:rsidRDefault="00CD04D9" w:rsidP="00CD04D9">
      <w:pPr>
        <w:pStyle w:val="BodyText"/>
        <w:spacing w:before="223" w:line="264" w:lineRule="auto"/>
        <w:rPr>
          <w:b/>
          <w:bCs/>
          <w:sz w:val="22"/>
          <w:szCs w:val="22"/>
        </w:rPr>
      </w:pPr>
      <w:r w:rsidRPr="007F0A84">
        <w:rPr>
          <w:b/>
          <w:bCs/>
          <w:sz w:val="22"/>
          <w:szCs w:val="22"/>
        </w:rPr>
        <w:t>Outpatient, out-of-network:</w:t>
      </w:r>
    </w:p>
    <w:p w14:paraId="504BEA20" w14:textId="77777777" w:rsidR="00CD04D9" w:rsidRPr="007F0A84" w:rsidRDefault="00CD04D9" w:rsidP="00CD04D9">
      <w:pPr>
        <w:pStyle w:val="BodyText"/>
        <w:spacing w:before="223" w:line="264" w:lineRule="auto"/>
        <w:rPr>
          <w:b/>
          <w:bCs/>
          <w:sz w:val="22"/>
          <w:szCs w:val="22"/>
        </w:rPr>
      </w:pPr>
    </w:p>
    <w:p w14:paraId="0B61AA04"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3CC40D81"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4846F497" w14:textId="77777777" w:rsidR="00CD04D9" w:rsidRPr="007F0A84" w:rsidRDefault="00CD04D9" w:rsidP="00CD04D9">
      <w:pPr>
        <w:pStyle w:val="BodyText"/>
        <w:spacing w:before="223" w:line="264" w:lineRule="auto"/>
        <w:rPr>
          <w:b/>
          <w:bCs/>
          <w:sz w:val="22"/>
          <w:szCs w:val="22"/>
        </w:rPr>
      </w:pPr>
    </w:p>
    <w:p w14:paraId="65221FD1"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692B8265" w14:textId="77777777" w:rsidR="00CD04D9" w:rsidRPr="007F0A84" w:rsidRDefault="00CD04D9" w:rsidP="00CD04D9">
      <w:pPr>
        <w:pStyle w:val="BodyText"/>
        <w:spacing w:before="223" w:line="264" w:lineRule="auto"/>
        <w:rPr>
          <w:b/>
          <w:bCs/>
          <w:sz w:val="22"/>
          <w:szCs w:val="22"/>
        </w:rPr>
      </w:pPr>
    </w:p>
    <w:p w14:paraId="453644FE" w14:textId="77777777" w:rsidR="00CD04D9" w:rsidRPr="007F0A84" w:rsidRDefault="00CD04D9" w:rsidP="00CD04D9">
      <w:pPr>
        <w:pStyle w:val="BodyText"/>
        <w:spacing w:before="223" w:line="264" w:lineRule="auto"/>
        <w:rPr>
          <w:b/>
          <w:bCs/>
          <w:sz w:val="22"/>
          <w:szCs w:val="22"/>
        </w:rPr>
      </w:pPr>
      <w:r w:rsidRPr="007F0A84">
        <w:rPr>
          <w:b/>
          <w:bCs/>
          <w:sz w:val="22"/>
          <w:szCs w:val="22"/>
        </w:rPr>
        <w:t>Emergency:</w:t>
      </w:r>
    </w:p>
    <w:p w14:paraId="4E01981E" w14:textId="77777777" w:rsidR="00CD04D9" w:rsidRPr="007F0A84" w:rsidRDefault="00CD04D9" w:rsidP="00CD04D9">
      <w:pPr>
        <w:pStyle w:val="BodyText"/>
        <w:spacing w:before="223" w:line="264" w:lineRule="auto"/>
        <w:rPr>
          <w:b/>
          <w:bCs/>
          <w:sz w:val="22"/>
          <w:szCs w:val="22"/>
        </w:rPr>
      </w:pPr>
    </w:p>
    <w:p w14:paraId="2E359A8E" w14:textId="77777777" w:rsidR="00CD04D9" w:rsidRPr="007F0A84" w:rsidRDefault="00CD04D9" w:rsidP="00CD04D9">
      <w:pPr>
        <w:pStyle w:val="BodyText"/>
        <w:spacing w:before="223" w:line="264" w:lineRule="auto"/>
        <w:rPr>
          <w:b/>
          <w:bCs/>
          <w:sz w:val="22"/>
          <w:szCs w:val="22"/>
        </w:rPr>
      </w:pPr>
      <w:r w:rsidRPr="007F0A84">
        <w:rPr>
          <w:b/>
          <w:bCs/>
          <w:sz w:val="22"/>
          <w:szCs w:val="22"/>
        </w:rPr>
        <w:lastRenderedPageBreak/>
        <w:t>Prescription drug:</w:t>
      </w:r>
    </w:p>
    <w:p w14:paraId="43CF0A57" w14:textId="77777777" w:rsidR="0012342C" w:rsidRPr="007F0A84" w:rsidRDefault="0012342C" w:rsidP="000C1D07">
      <w:pPr>
        <w:pStyle w:val="BodyText"/>
        <w:spacing w:line="264" w:lineRule="auto"/>
        <w:ind w:right="1056"/>
        <w:rPr>
          <w:sz w:val="22"/>
          <w:szCs w:val="22"/>
        </w:rPr>
      </w:pPr>
    </w:p>
    <w:p w14:paraId="6AF7710F" w14:textId="77777777" w:rsidR="005410B9" w:rsidRPr="007F0A84" w:rsidRDefault="005410B9" w:rsidP="005410B9">
      <w:pPr>
        <w:pStyle w:val="BodyText"/>
        <w:spacing w:before="8"/>
        <w:rPr>
          <w:sz w:val="22"/>
          <w:szCs w:val="22"/>
        </w:rPr>
      </w:pPr>
    </w:p>
    <w:p w14:paraId="33E3A4E8" w14:textId="77777777" w:rsidR="005410B9" w:rsidRPr="007F0A84" w:rsidRDefault="005410B9" w:rsidP="000C1D07">
      <w:pPr>
        <w:pStyle w:val="BodyText"/>
        <w:spacing w:before="168" w:line="264" w:lineRule="auto"/>
        <w:ind w:right="1220"/>
        <w:rPr>
          <w:b/>
          <w:sz w:val="22"/>
          <w:szCs w:val="22"/>
        </w:rPr>
      </w:pPr>
      <w:r w:rsidRPr="007F0A84">
        <w:rPr>
          <w:b/>
          <w:sz w:val="22"/>
          <w:szCs w:val="22"/>
        </w:rPr>
        <w:t>Step 5: Provide the comparative analyses used to determine in operation comparability and equivalent stringency.</w:t>
      </w:r>
    </w:p>
    <w:p w14:paraId="3F3A1B58" w14:textId="77777777" w:rsidR="005410B9" w:rsidRPr="007F0A84" w:rsidRDefault="005410B9" w:rsidP="000C1D07">
      <w:pPr>
        <w:pStyle w:val="BodyText"/>
        <w:spacing w:before="168" w:line="264" w:lineRule="auto"/>
        <w:ind w:right="1220"/>
        <w:rPr>
          <w:sz w:val="22"/>
          <w:szCs w:val="22"/>
        </w:rPr>
      </w:pPr>
      <w:r w:rsidRPr="007F0A84">
        <w:rPr>
          <w:sz w:val="22"/>
          <w:szCs w:val="22"/>
        </w:rPr>
        <w:t>Provide the comparative analysis demonstrating that the processes and strategies used in operationalizing the NQTL for MH/SUD benefits are comparable to and no more stringently applied than the processes and strategies used in operationalizing the NQTL for medical surgical benefits.</w:t>
      </w:r>
    </w:p>
    <w:p w14:paraId="3337C840" w14:textId="77777777" w:rsidR="005410B9" w:rsidRPr="007F0A84" w:rsidRDefault="005410B9" w:rsidP="000C1D07">
      <w:pPr>
        <w:pStyle w:val="BodyText"/>
        <w:spacing w:before="3"/>
        <w:rPr>
          <w:sz w:val="22"/>
          <w:szCs w:val="22"/>
        </w:rPr>
      </w:pPr>
    </w:p>
    <w:p w14:paraId="4E6B8560" w14:textId="4818E865" w:rsidR="005410B9" w:rsidRPr="007F0A84" w:rsidRDefault="005410B9" w:rsidP="002B309F">
      <w:pPr>
        <w:pStyle w:val="BodyText"/>
        <w:spacing w:line="264" w:lineRule="auto"/>
        <w:ind w:right="1220"/>
        <w:rPr>
          <w:sz w:val="22"/>
          <w:szCs w:val="22"/>
        </w:rPr>
      </w:pPr>
      <w:r w:rsidRPr="007F0A84">
        <w:rPr>
          <w:sz w:val="22"/>
          <w:szCs w:val="22"/>
        </w:rPr>
        <w:t xml:space="preserve">Please identify each process employed for a particular NQTL. In operation processes include, but are not limited to, peer clinical review, telephonic consultations with attending providers, consultations with expert reviewers, clinical rationale used in approving or denying benefits, the selection of information deemed reasonably necessary to make a medical necessity determination, adherence to utilization review criteria and criteria hierarchy, professional judgment used in lieu of utilization review criteria, actions taken when incomplete information is received from attending providers, utilization review decision timeliness, requests of patient medical records, process for sharing all clinical and demographic information on individual patients among various clinical and administrative departments, among others.  </w:t>
      </w:r>
    </w:p>
    <w:p w14:paraId="7E983A1D" w14:textId="30FA590E" w:rsidR="00683AFD" w:rsidRPr="007F0A84" w:rsidRDefault="00683AFD" w:rsidP="002B309F">
      <w:pPr>
        <w:pStyle w:val="BodyText"/>
        <w:spacing w:line="264" w:lineRule="auto"/>
        <w:ind w:right="1220"/>
        <w:rPr>
          <w:sz w:val="22"/>
          <w:szCs w:val="22"/>
        </w:rPr>
      </w:pPr>
    </w:p>
    <w:p w14:paraId="22375F9D" w14:textId="28D06DA9" w:rsidR="00CD04D9" w:rsidRPr="00820BA4"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415BD3B1" w14:textId="77777777" w:rsidR="00CD04D9" w:rsidRPr="000C55E8" w:rsidRDefault="00CD04D9" w:rsidP="00CD04D9">
      <w:pPr>
        <w:pStyle w:val="BodyText"/>
        <w:spacing w:before="223" w:line="264" w:lineRule="auto"/>
        <w:rPr>
          <w:b/>
          <w:bCs/>
          <w:sz w:val="22"/>
          <w:szCs w:val="22"/>
        </w:rPr>
      </w:pPr>
      <w:r w:rsidRPr="000C55E8">
        <w:rPr>
          <w:b/>
          <w:bCs/>
          <w:sz w:val="22"/>
          <w:szCs w:val="22"/>
        </w:rPr>
        <w:t>Inpatient, in-network:</w:t>
      </w:r>
    </w:p>
    <w:p w14:paraId="7AD4F5FA" w14:textId="77777777" w:rsidR="00CD04D9" w:rsidRPr="007F0A84" w:rsidRDefault="00CD04D9" w:rsidP="00CD04D9">
      <w:pPr>
        <w:pStyle w:val="BodyText"/>
        <w:spacing w:before="223" w:line="264" w:lineRule="auto"/>
        <w:rPr>
          <w:sz w:val="22"/>
          <w:szCs w:val="22"/>
        </w:rPr>
      </w:pPr>
    </w:p>
    <w:p w14:paraId="56ED7F5D" w14:textId="77777777" w:rsidR="00CD04D9" w:rsidRPr="007F0A84" w:rsidRDefault="00CD04D9" w:rsidP="00CD04D9">
      <w:pPr>
        <w:pStyle w:val="BodyText"/>
        <w:spacing w:before="223" w:line="264" w:lineRule="auto"/>
        <w:rPr>
          <w:b/>
          <w:bCs/>
          <w:sz w:val="22"/>
          <w:szCs w:val="22"/>
        </w:rPr>
      </w:pPr>
      <w:r w:rsidRPr="007F0A84">
        <w:rPr>
          <w:b/>
          <w:bCs/>
          <w:sz w:val="22"/>
          <w:szCs w:val="22"/>
        </w:rPr>
        <w:t>Inpatient, out-of-network:</w:t>
      </w:r>
    </w:p>
    <w:p w14:paraId="703C0340" w14:textId="77777777" w:rsidR="00CD04D9" w:rsidRPr="007F0A84" w:rsidRDefault="00CD04D9" w:rsidP="00CD04D9">
      <w:pPr>
        <w:pStyle w:val="BodyText"/>
        <w:spacing w:before="223" w:line="264" w:lineRule="auto"/>
        <w:rPr>
          <w:b/>
          <w:bCs/>
          <w:sz w:val="22"/>
          <w:szCs w:val="22"/>
        </w:rPr>
      </w:pPr>
    </w:p>
    <w:p w14:paraId="4955A0BD" w14:textId="77777777" w:rsidR="00CD04D9" w:rsidRPr="007F0A84" w:rsidRDefault="00CD04D9" w:rsidP="00CD04D9">
      <w:pPr>
        <w:pStyle w:val="BodyText"/>
        <w:spacing w:before="223" w:line="264" w:lineRule="auto"/>
        <w:rPr>
          <w:b/>
          <w:bCs/>
          <w:sz w:val="22"/>
          <w:szCs w:val="22"/>
        </w:rPr>
      </w:pPr>
      <w:r w:rsidRPr="007F0A84">
        <w:rPr>
          <w:b/>
          <w:bCs/>
          <w:sz w:val="22"/>
          <w:szCs w:val="22"/>
        </w:rPr>
        <w:t>Outpatient, in-network:</w:t>
      </w:r>
    </w:p>
    <w:p w14:paraId="7504617A" w14:textId="77777777" w:rsidR="00CD04D9" w:rsidRPr="007F0A84" w:rsidRDefault="00CD04D9" w:rsidP="00CD04D9">
      <w:pPr>
        <w:pStyle w:val="BodyText"/>
        <w:spacing w:before="223" w:line="264" w:lineRule="auto"/>
        <w:rPr>
          <w:b/>
          <w:bCs/>
          <w:sz w:val="22"/>
          <w:szCs w:val="22"/>
        </w:rPr>
      </w:pPr>
    </w:p>
    <w:p w14:paraId="441C77F6"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1332EEEA"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2404329E" w14:textId="77777777" w:rsidR="00CD04D9" w:rsidRPr="007F0A84" w:rsidRDefault="00CD04D9" w:rsidP="00CD04D9">
      <w:pPr>
        <w:pStyle w:val="BodyText"/>
        <w:spacing w:before="223" w:line="264" w:lineRule="auto"/>
        <w:rPr>
          <w:b/>
          <w:bCs/>
          <w:sz w:val="22"/>
          <w:szCs w:val="22"/>
        </w:rPr>
      </w:pPr>
    </w:p>
    <w:p w14:paraId="5016A64C"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0FF695B8" w14:textId="77777777" w:rsidR="00CD04D9" w:rsidRPr="007F0A84" w:rsidRDefault="00CD04D9" w:rsidP="00CD04D9">
      <w:pPr>
        <w:pStyle w:val="BodyText"/>
        <w:spacing w:before="223" w:line="264" w:lineRule="auto"/>
        <w:rPr>
          <w:b/>
          <w:bCs/>
          <w:sz w:val="22"/>
          <w:szCs w:val="22"/>
        </w:rPr>
      </w:pPr>
    </w:p>
    <w:p w14:paraId="01DA5ABC" w14:textId="77777777" w:rsidR="00CD04D9" w:rsidRPr="007F0A84" w:rsidRDefault="00CD04D9" w:rsidP="00CD04D9">
      <w:pPr>
        <w:pStyle w:val="BodyText"/>
        <w:spacing w:before="223" w:line="264" w:lineRule="auto"/>
        <w:rPr>
          <w:b/>
          <w:bCs/>
          <w:sz w:val="22"/>
          <w:szCs w:val="22"/>
        </w:rPr>
      </w:pPr>
      <w:r w:rsidRPr="007F0A84">
        <w:rPr>
          <w:b/>
          <w:bCs/>
          <w:sz w:val="22"/>
          <w:szCs w:val="22"/>
        </w:rPr>
        <w:t>Outpatient, out-of-network:</w:t>
      </w:r>
    </w:p>
    <w:p w14:paraId="30D79C30" w14:textId="77777777" w:rsidR="00CD04D9" w:rsidRPr="007F0A84" w:rsidRDefault="00CD04D9" w:rsidP="00CD04D9">
      <w:pPr>
        <w:pStyle w:val="BodyText"/>
        <w:spacing w:before="223" w:line="264" w:lineRule="auto"/>
        <w:rPr>
          <w:b/>
          <w:bCs/>
          <w:sz w:val="22"/>
          <w:szCs w:val="22"/>
        </w:rPr>
      </w:pPr>
    </w:p>
    <w:p w14:paraId="5A8FB8A0"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56AAC524"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7059C8F2" w14:textId="77777777" w:rsidR="00CD04D9" w:rsidRPr="007F0A84" w:rsidRDefault="00CD04D9" w:rsidP="00CD04D9">
      <w:pPr>
        <w:pStyle w:val="BodyText"/>
        <w:spacing w:before="223" w:line="264" w:lineRule="auto"/>
        <w:rPr>
          <w:b/>
          <w:bCs/>
          <w:sz w:val="22"/>
          <w:szCs w:val="22"/>
        </w:rPr>
      </w:pPr>
    </w:p>
    <w:p w14:paraId="3F7EE812"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0299D3A2" w14:textId="77777777" w:rsidR="00CD04D9" w:rsidRPr="007F0A84" w:rsidRDefault="00CD04D9" w:rsidP="00CD04D9">
      <w:pPr>
        <w:pStyle w:val="BodyText"/>
        <w:spacing w:before="223" w:line="264" w:lineRule="auto"/>
        <w:rPr>
          <w:b/>
          <w:bCs/>
          <w:sz w:val="22"/>
          <w:szCs w:val="22"/>
        </w:rPr>
      </w:pPr>
    </w:p>
    <w:p w14:paraId="6258A034" w14:textId="77777777" w:rsidR="00CD04D9" w:rsidRPr="007F0A84" w:rsidRDefault="00CD04D9" w:rsidP="00CD04D9">
      <w:pPr>
        <w:pStyle w:val="BodyText"/>
        <w:spacing w:before="223" w:line="264" w:lineRule="auto"/>
        <w:rPr>
          <w:b/>
          <w:bCs/>
          <w:sz w:val="22"/>
          <w:szCs w:val="22"/>
        </w:rPr>
      </w:pPr>
      <w:r w:rsidRPr="007F0A84">
        <w:rPr>
          <w:b/>
          <w:bCs/>
          <w:sz w:val="22"/>
          <w:szCs w:val="22"/>
        </w:rPr>
        <w:t>Emergency:</w:t>
      </w:r>
    </w:p>
    <w:p w14:paraId="7D06C720" w14:textId="77777777" w:rsidR="00CD04D9" w:rsidRPr="007F0A84" w:rsidRDefault="00CD04D9" w:rsidP="00CD04D9">
      <w:pPr>
        <w:pStyle w:val="BodyText"/>
        <w:spacing w:before="223" w:line="264" w:lineRule="auto"/>
        <w:rPr>
          <w:b/>
          <w:bCs/>
          <w:sz w:val="22"/>
          <w:szCs w:val="22"/>
        </w:rPr>
      </w:pPr>
    </w:p>
    <w:p w14:paraId="08121E79" w14:textId="77777777" w:rsidR="00CD04D9" w:rsidRPr="007F0A84" w:rsidRDefault="00CD04D9" w:rsidP="00CD04D9">
      <w:pPr>
        <w:pStyle w:val="BodyText"/>
        <w:spacing w:before="223" w:line="264" w:lineRule="auto"/>
        <w:rPr>
          <w:b/>
          <w:bCs/>
          <w:sz w:val="22"/>
          <w:szCs w:val="22"/>
        </w:rPr>
      </w:pPr>
      <w:r w:rsidRPr="007F0A84">
        <w:rPr>
          <w:b/>
          <w:bCs/>
          <w:sz w:val="22"/>
          <w:szCs w:val="22"/>
        </w:rPr>
        <w:t>Prescription drug:</w:t>
      </w:r>
    </w:p>
    <w:p w14:paraId="0F3744EE" w14:textId="77777777" w:rsidR="00683AFD" w:rsidRPr="007F0A84" w:rsidRDefault="00683AFD" w:rsidP="002B309F">
      <w:pPr>
        <w:pStyle w:val="BodyText"/>
        <w:spacing w:line="264" w:lineRule="auto"/>
        <w:ind w:right="1220"/>
        <w:rPr>
          <w:sz w:val="22"/>
          <w:szCs w:val="22"/>
        </w:rPr>
      </w:pPr>
    </w:p>
    <w:p w14:paraId="0DE88DCB" w14:textId="77777777" w:rsidR="005410B9" w:rsidRPr="007F0A84" w:rsidRDefault="005410B9" w:rsidP="000C1D07">
      <w:pPr>
        <w:pStyle w:val="BodyText"/>
        <w:spacing w:before="161" w:line="264" w:lineRule="auto"/>
        <w:ind w:right="1256"/>
        <w:rPr>
          <w:b/>
          <w:sz w:val="22"/>
          <w:szCs w:val="22"/>
        </w:rPr>
      </w:pPr>
      <w:r w:rsidRPr="007F0A84">
        <w:rPr>
          <w:b/>
          <w:sz w:val="22"/>
          <w:szCs w:val="22"/>
        </w:rPr>
        <w:t>Step 6: Summary statement justifying how performing the comparative analyses required by the subsequent steps has led the plan to conclude that it is in compliance.</w:t>
      </w:r>
    </w:p>
    <w:p w14:paraId="2D945706" w14:textId="77777777" w:rsidR="005410B9" w:rsidRPr="007F0A84" w:rsidRDefault="005410B9" w:rsidP="000C1D07">
      <w:pPr>
        <w:pStyle w:val="BodyText"/>
        <w:spacing w:before="161" w:line="264" w:lineRule="auto"/>
        <w:ind w:right="1256"/>
        <w:rPr>
          <w:sz w:val="22"/>
          <w:szCs w:val="22"/>
        </w:rPr>
      </w:pPr>
    </w:p>
    <w:p w14:paraId="2F904861" w14:textId="55254703" w:rsidR="005410B9" w:rsidRPr="007F0A84" w:rsidRDefault="005410B9" w:rsidP="000C1D07">
      <w:pPr>
        <w:pStyle w:val="BodyText"/>
        <w:spacing w:line="264" w:lineRule="auto"/>
        <w:ind w:right="1145"/>
        <w:rPr>
          <w:sz w:val="22"/>
          <w:szCs w:val="22"/>
        </w:rPr>
      </w:pPr>
      <w:r w:rsidRPr="007F0A84">
        <w:rPr>
          <w:sz w:val="22"/>
          <w:szCs w:val="22"/>
        </w:rPr>
        <w:t>Based on the responses provided in the steps above, clearly summarize the basis for the plan or issuer’s conclusion that both as written and in operation, the processes, strategies, evidentiary standards, and factors used to impose the NQTL on MH/SUD benefits are comparable to and applied no more stringently than the processes, strategies, evidentiary standards, and factors used to impose the NQTL on medical/surgical benefits in each classification of benefits in which</w:t>
      </w:r>
      <w:r w:rsidR="00582BE4" w:rsidRPr="007F0A84">
        <w:rPr>
          <w:sz w:val="22"/>
          <w:szCs w:val="22"/>
        </w:rPr>
        <w:t xml:space="preserve"> the NQTL is imposed. </w:t>
      </w:r>
    </w:p>
    <w:p w14:paraId="12221768" w14:textId="40E8B80A" w:rsidR="00683AFD" w:rsidRPr="007F0A84" w:rsidRDefault="00683AFD" w:rsidP="000C1D07">
      <w:pPr>
        <w:pStyle w:val="BodyText"/>
        <w:spacing w:line="264" w:lineRule="auto"/>
        <w:ind w:right="1145"/>
        <w:rPr>
          <w:sz w:val="22"/>
          <w:szCs w:val="22"/>
        </w:rPr>
      </w:pPr>
    </w:p>
    <w:p w14:paraId="595DEF8E" w14:textId="77777777" w:rsidR="00CD04D9" w:rsidRPr="007F0A84"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03BC0716" w14:textId="77777777" w:rsidR="00CD04D9" w:rsidRDefault="00CD04D9" w:rsidP="00CD04D9">
      <w:pPr>
        <w:pStyle w:val="BodyText"/>
        <w:spacing w:before="223" w:line="264" w:lineRule="auto"/>
        <w:rPr>
          <w:b/>
          <w:bCs/>
          <w:sz w:val="22"/>
          <w:szCs w:val="22"/>
        </w:rPr>
      </w:pPr>
    </w:p>
    <w:p w14:paraId="5F688B11" w14:textId="77777777" w:rsidR="00CD04D9" w:rsidRPr="000C55E8" w:rsidRDefault="00CD04D9" w:rsidP="00CD04D9">
      <w:pPr>
        <w:pStyle w:val="BodyText"/>
        <w:spacing w:before="223" w:line="264" w:lineRule="auto"/>
        <w:rPr>
          <w:b/>
          <w:bCs/>
          <w:sz w:val="22"/>
          <w:szCs w:val="22"/>
        </w:rPr>
      </w:pPr>
      <w:r w:rsidRPr="000C55E8">
        <w:rPr>
          <w:b/>
          <w:bCs/>
          <w:sz w:val="22"/>
          <w:szCs w:val="22"/>
        </w:rPr>
        <w:t>Inpatient, in-network:</w:t>
      </w:r>
    </w:p>
    <w:p w14:paraId="48ABEE3B" w14:textId="77777777" w:rsidR="00CD04D9" w:rsidRPr="007F0A84" w:rsidRDefault="00CD04D9" w:rsidP="00CD04D9">
      <w:pPr>
        <w:pStyle w:val="BodyText"/>
        <w:spacing w:before="223" w:line="264" w:lineRule="auto"/>
        <w:rPr>
          <w:sz w:val="22"/>
          <w:szCs w:val="22"/>
        </w:rPr>
      </w:pPr>
    </w:p>
    <w:p w14:paraId="06DF2C39" w14:textId="77777777" w:rsidR="00CD04D9" w:rsidRPr="007F0A84" w:rsidRDefault="00CD04D9" w:rsidP="00CD04D9">
      <w:pPr>
        <w:pStyle w:val="BodyText"/>
        <w:spacing w:before="223" w:line="264" w:lineRule="auto"/>
        <w:rPr>
          <w:b/>
          <w:bCs/>
          <w:sz w:val="22"/>
          <w:szCs w:val="22"/>
        </w:rPr>
      </w:pPr>
      <w:r w:rsidRPr="007F0A84">
        <w:rPr>
          <w:b/>
          <w:bCs/>
          <w:sz w:val="22"/>
          <w:szCs w:val="22"/>
        </w:rPr>
        <w:t>Inpatient, out-of-network:</w:t>
      </w:r>
    </w:p>
    <w:p w14:paraId="3AB03191" w14:textId="77777777" w:rsidR="00CD04D9" w:rsidRPr="007F0A84" w:rsidRDefault="00CD04D9" w:rsidP="00CD04D9">
      <w:pPr>
        <w:pStyle w:val="BodyText"/>
        <w:spacing w:before="223" w:line="264" w:lineRule="auto"/>
        <w:rPr>
          <w:b/>
          <w:bCs/>
          <w:sz w:val="22"/>
          <w:szCs w:val="22"/>
        </w:rPr>
      </w:pPr>
    </w:p>
    <w:p w14:paraId="146A5D9F" w14:textId="77777777" w:rsidR="00CD04D9" w:rsidRPr="007F0A84" w:rsidRDefault="00CD04D9" w:rsidP="00CD04D9">
      <w:pPr>
        <w:pStyle w:val="BodyText"/>
        <w:spacing w:before="223" w:line="264" w:lineRule="auto"/>
        <w:rPr>
          <w:b/>
          <w:bCs/>
          <w:sz w:val="22"/>
          <w:szCs w:val="22"/>
        </w:rPr>
      </w:pPr>
      <w:r w:rsidRPr="007F0A84">
        <w:rPr>
          <w:b/>
          <w:bCs/>
          <w:sz w:val="22"/>
          <w:szCs w:val="22"/>
        </w:rPr>
        <w:t>Outpatient, in-network:</w:t>
      </w:r>
    </w:p>
    <w:p w14:paraId="4F965D59" w14:textId="77777777" w:rsidR="00CD04D9" w:rsidRPr="007F0A84" w:rsidRDefault="00CD04D9" w:rsidP="00CD04D9">
      <w:pPr>
        <w:pStyle w:val="BodyText"/>
        <w:spacing w:before="223" w:line="264" w:lineRule="auto"/>
        <w:rPr>
          <w:b/>
          <w:bCs/>
          <w:sz w:val="22"/>
          <w:szCs w:val="22"/>
        </w:rPr>
      </w:pPr>
    </w:p>
    <w:p w14:paraId="56880F33"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3CBBF8A3" w14:textId="77777777" w:rsidR="00CD04D9" w:rsidRPr="007F0A84" w:rsidRDefault="00CD04D9" w:rsidP="00CD04D9">
      <w:pPr>
        <w:pStyle w:val="BodyText"/>
        <w:spacing w:before="223" w:line="264" w:lineRule="auto"/>
        <w:rPr>
          <w:b/>
          <w:bCs/>
          <w:sz w:val="22"/>
          <w:szCs w:val="22"/>
        </w:rPr>
      </w:pPr>
      <w:r w:rsidRPr="007F0A84">
        <w:rPr>
          <w:b/>
          <w:bCs/>
          <w:sz w:val="22"/>
          <w:szCs w:val="22"/>
        </w:rPr>
        <w:lastRenderedPageBreak/>
        <w:tab/>
        <w:t>Office visit:</w:t>
      </w:r>
    </w:p>
    <w:p w14:paraId="123E4847" w14:textId="77777777" w:rsidR="00CD04D9" w:rsidRPr="007F0A84" w:rsidRDefault="00CD04D9" w:rsidP="00CD04D9">
      <w:pPr>
        <w:pStyle w:val="BodyText"/>
        <w:spacing w:before="223" w:line="264" w:lineRule="auto"/>
        <w:rPr>
          <w:b/>
          <w:bCs/>
          <w:sz w:val="22"/>
          <w:szCs w:val="22"/>
        </w:rPr>
      </w:pPr>
    </w:p>
    <w:p w14:paraId="7A679512"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72CEC61A" w14:textId="77777777" w:rsidR="00CD04D9" w:rsidRPr="007F0A84" w:rsidRDefault="00CD04D9" w:rsidP="00CD04D9">
      <w:pPr>
        <w:pStyle w:val="BodyText"/>
        <w:spacing w:before="223" w:line="264" w:lineRule="auto"/>
        <w:rPr>
          <w:b/>
          <w:bCs/>
          <w:sz w:val="22"/>
          <w:szCs w:val="22"/>
        </w:rPr>
      </w:pPr>
    </w:p>
    <w:p w14:paraId="0192C950" w14:textId="77777777" w:rsidR="00CD04D9" w:rsidRPr="007F0A84" w:rsidRDefault="00CD04D9" w:rsidP="00CD04D9">
      <w:pPr>
        <w:pStyle w:val="BodyText"/>
        <w:spacing w:before="223" w:line="264" w:lineRule="auto"/>
        <w:rPr>
          <w:b/>
          <w:bCs/>
          <w:sz w:val="22"/>
          <w:szCs w:val="22"/>
        </w:rPr>
      </w:pPr>
      <w:r w:rsidRPr="007F0A84">
        <w:rPr>
          <w:b/>
          <w:bCs/>
          <w:sz w:val="22"/>
          <w:szCs w:val="22"/>
        </w:rPr>
        <w:t>Outpatient, out-of-network:</w:t>
      </w:r>
    </w:p>
    <w:p w14:paraId="7741AAE5" w14:textId="77777777" w:rsidR="00CD04D9" w:rsidRPr="007F0A84" w:rsidRDefault="00CD04D9" w:rsidP="00CD04D9">
      <w:pPr>
        <w:pStyle w:val="BodyText"/>
        <w:spacing w:before="223" w:line="264" w:lineRule="auto"/>
        <w:rPr>
          <w:b/>
          <w:bCs/>
          <w:sz w:val="22"/>
          <w:szCs w:val="22"/>
        </w:rPr>
      </w:pPr>
    </w:p>
    <w:p w14:paraId="2D46132C" w14:textId="77777777" w:rsidR="00CD04D9" w:rsidRPr="007F0A84" w:rsidRDefault="00CD04D9" w:rsidP="00CD04D9">
      <w:pPr>
        <w:pStyle w:val="BodyText"/>
        <w:spacing w:before="223" w:line="264" w:lineRule="auto"/>
        <w:rPr>
          <w:b/>
          <w:bCs/>
          <w:sz w:val="22"/>
          <w:szCs w:val="22"/>
        </w:rPr>
      </w:pPr>
      <w:r w:rsidRPr="007F0A84">
        <w:rPr>
          <w:b/>
          <w:bCs/>
          <w:sz w:val="22"/>
          <w:szCs w:val="22"/>
        </w:rPr>
        <w:tab/>
        <w:t>If subclassifications are used</w:t>
      </w:r>
    </w:p>
    <w:p w14:paraId="745A474A"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466DC696" w14:textId="77777777" w:rsidR="00CD04D9" w:rsidRPr="007F0A84" w:rsidRDefault="00CD04D9" w:rsidP="00CD04D9">
      <w:pPr>
        <w:pStyle w:val="BodyText"/>
        <w:spacing w:before="223" w:line="264" w:lineRule="auto"/>
        <w:rPr>
          <w:b/>
          <w:bCs/>
          <w:sz w:val="22"/>
          <w:szCs w:val="22"/>
        </w:rPr>
      </w:pPr>
    </w:p>
    <w:p w14:paraId="7C684720"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477D8046" w14:textId="77777777" w:rsidR="00CD04D9" w:rsidRPr="007F0A84" w:rsidRDefault="00CD04D9" w:rsidP="00CD04D9">
      <w:pPr>
        <w:pStyle w:val="BodyText"/>
        <w:spacing w:before="223" w:line="264" w:lineRule="auto"/>
        <w:rPr>
          <w:b/>
          <w:bCs/>
          <w:sz w:val="22"/>
          <w:szCs w:val="22"/>
        </w:rPr>
      </w:pPr>
    </w:p>
    <w:p w14:paraId="34AEDBC4" w14:textId="77777777" w:rsidR="00CD04D9" w:rsidRPr="007F0A84" w:rsidRDefault="00CD04D9" w:rsidP="00CD04D9">
      <w:pPr>
        <w:pStyle w:val="BodyText"/>
        <w:spacing w:before="223" w:line="264" w:lineRule="auto"/>
        <w:rPr>
          <w:b/>
          <w:bCs/>
          <w:sz w:val="22"/>
          <w:szCs w:val="22"/>
        </w:rPr>
      </w:pPr>
      <w:r w:rsidRPr="007F0A84">
        <w:rPr>
          <w:b/>
          <w:bCs/>
          <w:sz w:val="22"/>
          <w:szCs w:val="22"/>
        </w:rPr>
        <w:t>Emergency:</w:t>
      </w:r>
    </w:p>
    <w:p w14:paraId="3331BBFB" w14:textId="77777777" w:rsidR="00CD04D9" w:rsidRPr="007F0A84" w:rsidRDefault="00CD04D9" w:rsidP="00CD04D9">
      <w:pPr>
        <w:pStyle w:val="BodyText"/>
        <w:spacing w:before="223" w:line="264" w:lineRule="auto"/>
        <w:rPr>
          <w:b/>
          <w:bCs/>
          <w:sz w:val="22"/>
          <w:szCs w:val="22"/>
        </w:rPr>
      </w:pPr>
    </w:p>
    <w:p w14:paraId="1605547E" w14:textId="77777777" w:rsidR="00CD04D9" w:rsidRPr="007F0A84" w:rsidRDefault="00CD04D9" w:rsidP="00CD04D9">
      <w:pPr>
        <w:pStyle w:val="BodyText"/>
        <w:spacing w:before="223" w:line="264" w:lineRule="auto"/>
        <w:rPr>
          <w:b/>
          <w:bCs/>
          <w:sz w:val="22"/>
          <w:szCs w:val="22"/>
        </w:rPr>
      </w:pPr>
      <w:r w:rsidRPr="007F0A84">
        <w:rPr>
          <w:b/>
          <w:bCs/>
          <w:sz w:val="22"/>
          <w:szCs w:val="22"/>
        </w:rPr>
        <w:t>Prescription drug:</w:t>
      </w:r>
    </w:p>
    <w:p w14:paraId="3AE92782" w14:textId="3AD6B155" w:rsidR="00683AFD" w:rsidRPr="007F0A84" w:rsidRDefault="00683AFD" w:rsidP="00CD04D9">
      <w:pPr>
        <w:pStyle w:val="BodyText"/>
        <w:spacing w:before="223" w:line="264" w:lineRule="auto"/>
        <w:rPr>
          <w:b/>
          <w:bCs/>
          <w:sz w:val="22"/>
          <w:szCs w:val="22"/>
        </w:rPr>
      </w:pPr>
    </w:p>
    <w:sectPr w:rsidR="00683AFD" w:rsidRPr="007F0A84" w:rsidSect="002021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5FCB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FCB50" w16cid:durableId="20F418F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C8AC" w14:textId="77777777" w:rsidR="00C62CC4" w:rsidRDefault="00C62CC4" w:rsidP="00C62CC4">
      <w:r>
        <w:separator/>
      </w:r>
    </w:p>
  </w:endnote>
  <w:endnote w:type="continuationSeparator" w:id="0">
    <w:p w14:paraId="30A63D2B" w14:textId="77777777" w:rsidR="00C62CC4" w:rsidRDefault="00C62CC4" w:rsidP="00C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Light">
    <w:altName w:val="Arial"/>
    <w:charset w:val="00"/>
    <w:family w:val="swiss"/>
    <w:pitch w:val="variable"/>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83851" w14:textId="77777777" w:rsidR="00C62CC4" w:rsidRDefault="00C62CC4" w:rsidP="00C62CC4">
      <w:r>
        <w:separator/>
      </w:r>
    </w:p>
  </w:footnote>
  <w:footnote w:type="continuationSeparator" w:id="0">
    <w:p w14:paraId="4776AA87" w14:textId="77777777" w:rsidR="00C62CC4" w:rsidRDefault="00C62CC4" w:rsidP="00C62C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10"/>
    <w:multiLevelType w:val="hybridMultilevel"/>
    <w:tmpl w:val="762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23CA"/>
    <w:multiLevelType w:val="hybridMultilevel"/>
    <w:tmpl w:val="4D90FEAA"/>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
    <w:nsid w:val="106A693D"/>
    <w:multiLevelType w:val="hybridMultilevel"/>
    <w:tmpl w:val="10061A42"/>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
    <w:nsid w:val="264C7D94"/>
    <w:multiLevelType w:val="hybridMultilevel"/>
    <w:tmpl w:val="EB746408"/>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4">
    <w:nsid w:val="334A5AA3"/>
    <w:multiLevelType w:val="hybridMultilevel"/>
    <w:tmpl w:val="B2C0E52E"/>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5">
    <w:nsid w:val="3FD2190F"/>
    <w:multiLevelType w:val="hybridMultilevel"/>
    <w:tmpl w:val="14A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33064"/>
    <w:multiLevelType w:val="hybridMultilevel"/>
    <w:tmpl w:val="627A499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7">
    <w:nsid w:val="5B616523"/>
    <w:multiLevelType w:val="hybridMultilevel"/>
    <w:tmpl w:val="93D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208C1"/>
    <w:multiLevelType w:val="hybridMultilevel"/>
    <w:tmpl w:val="1A5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D70CA"/>
    <w:multiLevelType w:val="hybridMultilevel"/>
    <w:tmpl w:val="8AD8013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2"/>
  </w:num>
  <w:num w:numId="7">
    <w:abstractNumId w:val="8"/>
  </w:num>
  <w:num w:numId="8">
    <w:abstractNumId w:val="3"/>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Clement">
    <w15:presenceInfo w15:providerId="AD" w15:userId="S::tclement@psych.org::5ffd8d19-3992-4d0a-bdc0-95a96b310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B9"/>
    <w:rsid w:val="000C1D07"/>
    <w:rsid w:val="000C55E8"/>
    <w:rsid w:val="0012342C"/>
    <w:rsid w:val="00202113"/>
    <w:rsid w:val="002B309F"/>
    <w:rsid w:val="003A6F0C"/>
    <w:rsid w:val="003D167A"/>
    <w:rsid w:val="00503760"/>
    <w:rsid w:val="005410B9"/>
    <w:rsid w:val="00582BE4"/>
    <w:rsid w:val="00603227"/>
    <w:rsid w:val="00610222"/>
    <w:rsid w:val="00683AFD"/>
    <w:rsid w:val="006F2514"/>
    <w:rsid w:val="0078274B"/>
    <w:rsid w:val="007B53DD"/>
    <w:rsid w:val="007C790C"/>
    <w:rsid w:val="007F0A84"/>
    <w:rsid w:val="00820BA4"/>
    <w:rsid w:val="00876878"/>
    <w:rsid w:val="00922879"/>
    <w:rsid w:val="009365FD"/>
    <w:rsid w:val="00A176AF"/>
    <w:rsid w:val="00A35535"/>
    <w:rsid w:val="00AD7614"/>
    <w:rsid w:val="00B35B43"/>
    <w:rsid w:val="00B63C43"/>
    <w:rsid w:val="00BA1A32"/>
    <w:rsid w:val="00BC3BA8"/>
    <w:rsid w:val="00C3268A"/>
    <w:rsid w:val="00C62CC4"/>
    <w:rsid w:val="00C86C64"/>
    <w:rsid w:val="00CD04D9"/>
    <w:rsid w:val="00CD2549"/>
    <w:rsid w:val="00D67DDA"/>
    <w:rsid w:val="00EC08EB"/>
    <w:rsid w:val="00F01953"/>
    <w:rsid w:val="00F90121"/>
    <w:rsid w:val="00FD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54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0B9"/>
    <w:pPr>
      <w:widowControl w:val="0"/>
      <w:autoSpaceDE w:val="0"/>
      <w:autoSpaceDN w:val="0"/>
    </w:pPr>
    <w:rPr>
      <w:rFonts w:ascii="Myriad Pro Light" w:eastAsia="Myriad Pro Light" w:hAnsi="Myriad Pro Light" w:cs="Myriad Pro Light"/>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0B9"/>
    <w:rPr>
      <w:sz w:val="23"/>
      <w:szCs w:val="23"/>
    </w:rPr>
  </w:style>
  <w:style w:type="character" w:customStyle="1" w:styleId="BodyTextChar">
    <w:name w:val="Body Text Char"/>
    <w:basedOn w:val="DefaultParagraphFont"/>
    <w:link w:val="BodyText"/>
    <w:uiPriority w:val="1"/>
    <w:rsid w:val="005410B9"/>
    <w:rPr>
      <w:rFonts w:ascii="Myriad Pro Light" w:eastAsia="Myriad Pro Light" w:hAnsi="Myriad Pro Light" w:cs="Myriad Pro Light"/>
      <w:sz w:val="23"/>
      <w:szCs w:val="23"/>
      <w:lang w:bidi="en-US"/>
    </w:rPr>
  </w:style>
  <w:style w:type="character" w:styleId="Hyperlink">
    <w:name w:val="Hyperlink"/>
    <w:basedOn w:val="DefaultParagraphFont"/>
    <w:uiPriority w:val="99"/>
    <w:unhideWhenUsed/>
    <w:rsid w:val="00C86C64"/>
    <w:rPr>
      <w:color w:val="0000FF" w:themeColor="hyperlink"/>
      <w:u w:val="single"/>
    </w:rPr>
  </w:style>
  <w:style w:type="paragraph" w:styleId="Header">
    <w:name w:val="header"/>
    <w:basedOn w:val="Normal"/>
    <w:link w:val="HeaderChar"/>
    <w:uiPriority w:val="99"/>
    <w:unhideWhenUsed/>
    <w:rsid w:val="00C62CC4"/>
    <w:pPr>
      <w:tabs>
        <w:tab w:val="center" w:pos="4320"/>
        <w:tab w:val="right" w:pos="8640"/>
      </w:tabs>
    </w:pPr>
  </w:style>
  <w:style w:type="character" w:customStyle="1" w:styleId="HeaderChar">
    <w:name w:val="Header Char"/>
    <w:basedOn w:val="DefaultParagraphFont"/>
    <w:link w:val="Header"/>
    <w:uiPriority w:val="99"/>
    <w:rsid w:val="00C62CC4"/>
    <w:rPr>
      <w:rFonts w:ascii="Myriad Pro Light" w:eastAsia="Myriad Pro Light" w:hAnsi="Myriad Pro Light" w:cs="Myriad Pro Light"/>
      <w:sz w:val="22"/>
      <w:szCs w:val="22"/>
      <w:lang w:bidi="en-US"/>
    </w:rPr>
  </w:style>
  <w:style w:type="paragraph" w:styleId="Footer">
    <w:name w:val="footer"/>
    <w:basedOn w:val="Normal"/>
    <w:link w:val="FooterChar"/>
    <w:uiPriority w:val="99"/>
    <w:unhideWhenUsed/>
    <w:rsid w:val="00C62CC4"/>
    <w:pPr>
      <w:tabs>
        <w:tab w:val="center" w:pos="4320"/>
        <w:tab w:val="right" w:pos="8640"/>
      </w:tabs>
    </w:pPr>
  </w:style>
  <w:style w:type="character" w:customStyle="1" w:styleId="FooterChar">
    <w:name w:val="Footer Char"/>
    <w:basedOn w:val="DefaultParagraphFont"/>
    <w:link w:val="Footer"/>
    <w:uiPriority w:val="99"/>
    <w:rsid w:val="00C62CC4"/>
    <w:rPr>
      <w:rFonts w:ascii="Myriad Pro Light" w:eastAsia="Myriad Pro Light" w:hAnsi="Myriad Pro Light" w:cs="Myriad Pro Light"/>
      <w:sz w:val="22"/>
      <w:szCs w:val="22"/>
      <w:lang w:bidi="en-US"/>
    </w:rPr>
  </w:style>
  <w:style w:type="character" w:styleId="CommentReference">
    <w:name w:val="annotation reference"/>
    <w:basedOn w:val="DefaultParagraphFont"/>
    <w:uiPriority w:val="99"/>
    <w:semiHidden/>
    <w:unhideWhenUsed/>
    <w:rsid w:val="00876878"/>
    <w:rPr>
      <w:sz w:val="16"/>
      <w:szCs w:val="16"/>
    </w:rPr>
  </w:style>
  <w:style w:type="paragraph" w:styleId="CommentText">
    <w:name w:val="annotation text"/>
    <w:basedOn w:val="Normal"/>
    <w:link w:val="CommentTextChar"/>
    <w:uiPriority w:val="99"/>
    <w:semiHidden/>
    <w:unhideWhenUsed/>
    <w:rsid w:val="00876878"/>
    <w:rPr>
      <w:sz w:val="20"/>
      <w:szCs w:val="20"/>
    </w:rPr>
  </w:style>
  <w:style w:type="character" w:customStyle="1" w:styleId="CommentTextChar">
    <w:name w:val="Comment Text Char"/>
    <w:basedOn w:val="DefaultParagraphFont"/>
    <w:link w:val="CommentText"/>
    <w:uiPriority w:val="99"/>
    <w:semiHidden/>
    <w:rsid w:val="00876878"/>
    <w:rPr>
      <w:rFonts w:ascii="Myriad Pro Light" w:eastAsia="Myriad Pro Light" w:hAnsi="Myriad Pro Light" w:cs="Myriad Pro Light"/>
      <w:sz w:val="20"/>
      <w:szCs w:val="20"/>
      <w:lang w:bidi="en-US"/>
    </w:rPr>
  </w:style>
  <w:style w:type="paragraph" w:styleId="CommentSubject">
    <w:name w:val="annotation subject"/>
    <w:basedOn w:val="CommentText"/>
    <w:next w:val="CommentText"/>
    <w:link w:val="CommentSubjectChar"/>
    <w:uiPriority w:val="99"/>
    <w:semiHidden/>
    <w:unhideWhenUsed/>
    <w:rsid w:val="00876878"/>
    <w:rPr>
      <w:b/>
      <w:bCs/>
    </w:rPr>
  </w:style>
  <w:style w:type="character" w:customStyle="1" w:styleId="CommentSubjectChar">
    <w:name w:val="Comment Subject Char"/>
    <w:basedOn w:val="CommentTextChar"/>
    <w:link w:val="CommentSubject"/>
    <w:uiPriority w:val="99"/>
    <w:semiHidden/>
    <w:rsid w:val="00876878"/>
    <w:rPr>
      <w:rFonts w:ascii="Myriad Pro Light" w:eastAsia="Myriad Pro Light" w:hAnsi="Myriad Pro Light" w:cs="Myriad Pro Light"/>
      <w:b/>
      <w:bCs/>
      <w:sz w:val="20"/>
      <w:szCs w:val="20"/>
      <w:lang w:bidi="en-US"/>
    </w:rPr>
  </w:style>
  <w:style w:type="paragraph" w:styleId="BalloonText">
    <w:name w:val="Balloon Text"/>
    <w:basedOn w:val="Normal"/>
    <w:link w:val="BalloonTextChar"/>
    <w:uiPriority w:val="99"/>
    <w:semiHidden/>
    <w:unhideWhenUsed/>
    <w:rsid w:val="00876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78"/>
    <w:rPr>
      <w:rFonts w:ascii="Segoe UI" w:eastAsia="Myriad Pro Light" w:hAnsi="Segoe UI" w:cs="Segoe UI"/>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0B9"/>
    <w:pPr>
      <w:widowControl w:val="0"/>
      <w:autoSpaceDE w:val="0"/>
      <w:autoSpaceDN w:val="0"/>
    </w:pPr>
    <w:rPr>
      <w:rFonts w:ascii="Myriad Pro Light" w:eastAsia="Myriad Pro Light" w:hAnsi="Myriad Pro Light" w:cs="Myriad Pro Light"/>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0B9"/>
    <w:rPr>
      <w:sz w:val="23"/>
      <w:szCs w:val="23"/>
    </w:rPr>
  </w:style>
  <w:style w:type="character" w:customStyle="1" w:styleId="BodyTextChar">
    <w:name w:val="Body Text Char"/>
    <w:basedOn w:val="DefaultParagraphFont"/>
    <w:link w:val="BodyText"/>
    <w:uiPriority w:val="1"/>
    <w:rsid w:val="005410B9"/>
    <w:rPr>
      <w:rFonts w:ascii="Myriad Pro Light" w:eastAsia="Myriad Pro Light" w:hAnsi="Myriad Pro Light" w:cs="Myriad Pro Light"/>
      <w:sz w:val="23"/>
      <w:szCs w:val="23"/>
      <w:lang w:bidi="en-US"/>
    </w:rPr>
  </w:style>
  <w:style w:type="character" w:styleId="Hyperlink">
    <w:name w:val="Hyperlink"/>
    <w:basedOn w:val="DefaultParagraphFont"/>
    <w:uiPriority w:val="99"/>
    <w:unhideWhenUsed/>
    <w:rsid w:val="00C86C64"/>
    <w:rPr>
      <w:color w:val="0000FF" w:themeColor="hyperlink"/>
      <w:u w:val="single"/>
    </w:rPr>
  </w:style>
  <w:style w:type="paragraph" w:styleId="Header">
    <w:name w:val="header"/>
    <w:basedOn w:val="Normal"/>
    <w:link w:val="HeaderChar"/>
    <w:uiPriority w:val="99"/>
    <w:unhideWhenUsed/>
    <w:rsid w:val="00C62CC4"/>
    <w:pPr>
      <w:tabs>
        <w:tab w:val="center" w:pos="4320"/>
        <w:tab w:val="right" w:pos="8640"/>
      </w:tabs>
    </w:pPr>
  </w:style>
  <w:style w:type="character" w:customStyle="1" w:styleId="HeaderChar">
    <w:name w:val="Header Char"/>
    <w:basedOn w:val="DefaultParagraphFont"/>
    <w:link w:val="Header"/>
    <w:uiPriority w:val="99"/>
    <w:rsid w:val="00C62CC4"/>
    <w:rPr>
      <w:rFonts w:ascii="Myriad Pro Light" w:eastAsia="Myriad Pro Light" w:hAnsi="Myriad Pro Light" w:cs="Myriad Pro Light"/>
      <w:sz w:val="22"/>
      <w:szCs w:val="22"/>
      <w:lang w:bidi="en-US"/>
    </w:rPr>
  </w:style>
  <w:style w:type="paragraph" w:styleId="Footer">
    <w:name w:val="footer"/>
    <w:basedOn w:val="Normal"/>
    <w:link w:val="FooterChar"/>
    <w:uiPriority w:val="99"/>
    <w:unhideWhenUsed/>
    <w:rsid w:val="00C62CC4"/>
    <w:pPr>
      <w:tabs>
        <w:tab w:val="center" w:pos="4320"/>
        <w:tab w:val="right" w:pos="8640"/>
      </w:tabs>
    </w:pPr>
  </w:style>
  <w:style w:type="character" w:customStyle="1" w:styleId="FooterChar">
    <w:name w:val="Footer Char"/>
    <w:basedOn w:val="DefaultParagraphFont"/>
    <w:link w:val="Footer"/>
    <w:uiPriority w:val="99"/>
    <w:rsid w:val="00C62CC4"/>
    <w:rPr>
      <w:rFonts w:ascii="Myriad Pro Light" w:eastAsia="Myriad Pro Light" w:hAnsi="Myriad Pro Light" w:cs="Myriad Pro Light"/>
      <w:sz w:val="22"/>
      <w:szCs w:val="22"/>
      <w:lang w:bidi="en-US"/>
    </w:rPr>
  </w:style>
  <w:style w:type="character" w:styleId="CommentReference">
    <w:name w:val="annotation reference"/>
    <w:basedOn w:val="DefaultParagraphFont"/>
    <w:uiPriority w:val="99"/>
    <w:semiHidden/>
    <w:unhideWhenUsed/>
    <w:rsid w:val="00876878"/>
    <w:rPr>
      <w:sz w:val="16"/>
      <w:szCs w:val="16"/>
    </w:rPr>
  </w:style>
  <w:style w:type="paragraph" w:styleId="CommentText">
    <w:name w:val="annotation text"/>
    <w:basedOn w:val="Normal"/>
    <w:link w:val="CommentTextChar"/>
    <w:uiPriority w:val="99"/>
    <w:semiHidden/>
    <w:unhideWhenUsed/>
    <w:rsid w:val="00876878"/>
    <w:rPr>
      <w:sz w:val="20"/>
      <w:szCs w:val="20"/>
    </w:rPr>
  </w:style>
  <w:style w:type="character" w:customStyle="1" w:styleId="CommentTextChar">
    <w:name w:val="Comment Text Char"/>
    <w:basedOn w:val="DefaultParagraphFont"/>
    <w:link w:val="CommentText"/>
    <w:uiPriority w:val="99"/>
    <w:semiHidden/>
    <w:rsid w:val="00876878"/>
    <w:rPr>
      <w:rFonts w:ascii="Myriad Pro Light" w:eastAsia="Myriad Pro Light" w:hAnsi="Myriad Pro Light" w:cs="Myriad Pro Light"/>
      <w:sz w:val="20"/>
      <w:szCs w:val="20"/>
      <w:lang w:bidi="en-US"/>
    </w:rPr>
  </w:style>
  <w:style w:type="paragraph" w:styleId="CommentSubject">
    <w:name w:val="annotation subject"/>
    <w:basedOn w:val="CommentText"/>
    <w:next w:val="CommentText"/>
    <w:link w:val="CommentSubjectChar"/>
    <w:uiPriority w:val="99"/>
    <w:semiHidden/>
    <w:unhideWhenUsed/>
    <w:rsid w:val="00876878"/>
    <w:rPr>
      <w:b/>
      <w:bCs/>
    </w:rPr>
  </w:style>
  <w:style w:type="character" w:customStyle="1" w:styleId="CommentSubjectChar">
    <w:name w:val="Comment Subject Char"/>
    <w:basedOn w:val="CommentTextChar"/>
    <w:link w:val="CommentSubject"/>
    <w:uiPriority w:val="99"/>
    <w:semiHidden/>
    <w:rsid w:val="00876878"/>
    <w:rPr>
      <w:rFonts w:ascii="Myriad Pro Light" w:eastAsia="Myriad Pro Light" w:hAnsi="Myriad Pro Light" w:cs="Myriad Pro Light"/>
      <w:b/>
      <w:bCs/>
      <w:sz w:val="20"/>
      <w:szCs w:val="20"/>
      <w:lang w:bidi="en-US"/>
    </w:rPr>
  </w:style>
  <w:style w:type="paragraph" w:styleId="BalloonText">
    <w:name w:val="Balloon Text"/>
    <w:basedOn w:val="Normal"/>
    <w:link w:val="BalloonTextChar"/>
    <w:uiPriority w:val="99"/>
    <w:semiHidden/>
    <w:unhideWhenUsed/>
    <w:rsid w:val="00876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78"/>
    <w:rPr>
      <w:rFonts w:ascii="Segoe UI" w:eastAsia="Myriad Pro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8" Type="http://schemas.openxmlformats.org/officeDocument/2006/relationships/fontTable" Target="fontTable.xml"/><Relationship Id="rId3" Type="http://schemas.microsoft.com/office/2007/relationships/stylesWithEffects" Target="stylesWithEffects.xml"/><Relationship Id="rId12"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71f19a-86b5-4cc2-bc5c-c8a95b688b22">2020-01-01T06:00:00+00:00</Date>
    <n4bk xmlns="ad71f19a-86b5-4cc2-bc5c-c8a95b688b22">Public Meetings or Events</n4b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82717C-F5DB-4070-8E68-097AC50C5919}"/>
</file>

<file path=customXml/itemProps2.xml><?xml version="1.0" encoding="utf-8"?>
<ds:datastoreItem xmlns:ds="http://schemas.openxmlformats.org/officeDocument/2006/customXml" ds:itemID="{EDAD521F-F6FF-4B66-B80F-5BEFD22D299E}"/>
</file>

<file path=customXml/itemProps3.xml><?xml version="1.0" encoding="utf-8"?>
<ds:datastoreItem xmlns:ds="http://schemas.openxmlformats.org/officeDocument/2006/customXml" ds:itemID="{0940D61B-AA2F-4038-85FA-57F759E1BC71}"/>
</file>

<file path=docProps/app.xml><?xml version="1.0" encoding="utf-8"?>
<Properties xmlns="http://schemas.openxmlformats.org/officeDocument/2006/extended-properties" xmlns:vt="http://schemas.openxmlformats.org/officeDocument/2006/docPropsVTypes">
  <Template>Normal.dotm</Template>
  <TotalTime>1</TotalTime>
  <Pages>8</Pages>
  <Words>1161</Words>
  <Characters>6618</Characters>
  <Application>Microsoft Macintosh Word</Application>
  <DocSecurity>0</DocSecurity>
  <Lines>55</Lines>
  <Paragraphs>15</Paragraphs>
  <ScaleCrop>false</ScaleCrop>
  <Company>Scattergood Foundation</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cp:revision>
  <dcterms:created xsi:type="dcterms:W3CDTF">2019-09-09T17:50:00Z</dcterms:created>
  <dcterms:modified xsi:type="dcterms:W3CDTF">2019-09-09T17:50:00Z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