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3287" w14:textId="1563401F" w:rsidR="00C62CC4" w:rsidRPr="00C62CC4" w:rsidRDefault="00C62CC4" w:rsidP="00C62CC4">
      <w:pPr>
        <w:pStyle w:val="BodyText"/>
        <w:spacing w:before="223" w:line="264" w:lineRule="auto"/>
        <w:jc w:val="center"/>
        <w:rPr>
          <w:b/>
          <w:sz w:val="28"/>
          <w:szCs w:val="28"/>
        </w:rPr>
      </w:pPr>
      <w:r w:rsidRPr="00C62CC4">
        <w:rPr>
          <w:b/>
          <w:sz w:val="28"/>
          <w:szCs w:val="28"/>
        </w:rPr>
        <w:t>NQTL Spreadsheet Guidance</w:t>
      </w:r>
    </w:p>
    <w:p w14:paraId="7C1038E2" w14:textId="77777777" w:rsidR="00C62CC4" w:rsidRDefault="00C62CC4" w:rsidP="00F01953">
      <w:pPr>
        <w:pStyle w:val="BodyText"/>
        <w:spacing w:before="223" w:line="264" w:lineRule="auto"/>
        <w:rPr>
          <w:b/>
        </w:rPr>
      </w:pPr>
    </w:p>
    <w:p w14:paraId="2AB90870" w14:textId="5E6C1F8C" w:rsidR="00CD2549" w:rsidRDefault="00CD2549" w:rsidP="00F01953">
      <w:pPr>
        <w:pStyle w:val="BodyText"/>
        <w:spacing w:before="223" w:line="264" w:lineRule="auto"/>
        <w:rPr>
          <w:b/>
        </w:rPr>
      </w:pPr>
      <w:r>
        <w:rPr>
          <w:b/>
        </w:rPr>
        <w:t>Below is an in-depth description of each step that is deli</w:t>
      </w:r>
      <w:r w:rsidR="00C86C64">
        <w:rPr>
          <w:b/>
        </w:rPr>
        <w:t xml:space="preserve">neated in the NQTL spreadsheet. Each </w:t>
      </w:r>
      <w:r w:rsidR="00EF4B66">
        <w:rPr>
          <w:b/>
        </w:rPr>
        <w:t>carrier</w:t>
      </w:r>
      <w:r w:rsidR="00C86C64">
        <w:rPr>
          <w:b/>
        </w:rPr>
        <w:t xml:space="preserve"> and </w:t>
      </w:r>
      <w:r w:rsidR="00EF4B66">
        <w:rPr>
          <w:b/>
        </w:rPr>
        <w:t>its</w:t>
      </w:r>
      <w:r w:rsidR="00C86C64">
        <w:rPr>
          <w:b/>
        </w:rPr>
        <w:t xml:space="preserve"> vendor</w:t>
      </w:r>
      <w:bookmarkStart w:id="0" w:name="_GoBack"/>
      <w:bookmarkEnd w:id="0"/>
      <w:r w:rsidR="00C86C64">
        <w:rPr>
          <w:b/>
        </w:rPr>
        <w:t xml:space="preserve"> (if applicable) should refer to this document for full context regarding each step in the NQTL spreadsheet. </w:t>
      </w:r>
    </w:p>
    <w:p w14:paraId="17858BE1" w14:textId="77777777" w:rsidR="005410B9" w:rsidRPr="00786A54" w:rsidRDefault="005410B9" w:rsidP="00F01953">
      <w:pPr>
        <w:pStyle w:val="BodyText"/>
        <w:spacing w:before="223" w:line="264" w:lineRule="auto"/>
        <w:rPr>
          <w:b/>
        </w:rPr>
      </w:pPr>
      <w:r w:rsidRPr="00786A54">
        <w:rPr>
          <w:b/>
        </w:rPr>
        <w:t>Step 1: Provide the specific plan language regarding the NQTL and describe all services to which it applies in each respective classification of benefits.</w:t>
      </w:r>
    </w:p>
    <w:p w14:paraId="7953EC62" w14:textId="77777777" w:rsidR="005410B9" w:rsidRDefault="005410B9" w:rsidP="00F01953">
      <w:pPr>
        <w:pStyle w:val="BodyText"/>
        <w:spacing w:before="223" w:line="264" w:lineRule="auto"/>
      </w:pPr>
      <w:r>
        <w:t>Identify and provide the specific language of the NQTL as provided in the plan documents. This shall include each step, associated triggers, timelines, forms and requirements.</w:t>
      </w:r>
    </w:p>
    <w:p w14:paraId="23A06DE7" w14:textId="77777777" w:rsidR="005410B9" w:rsidRDefault="005410B9" w:rsidP="00F01953">
      <w:pPr>
        <w:pStyle w:val="BodyText"/>
        <w:rPr>
          <w:sz w:val="20"/>
        </w:rPr>
      </w:pPr>
    </w:p>
    <w:p w14:paraId="5CA50BF6" w14:textId="77777777" w:rsidR="005410B9" w:rsidRDefault="005410B9" w:rsidP="00F01953">
      <w:pPr>
        <w:pStyle w:val="BodyText"/>
        <w:spacing w:before="7"/>
        <w:rPr>
          <w:sz w:val="13"/>
        </w:rPr>
      </w:pPr>
    </w:p>
    <w:p w14:paraId="42C8BC6D" w14:textId="77777777" w:rsidR="005410B9" w:rsidRPr="00A24F3F" w:rsidRDefault="005410B9" w:rsidP="00F01953">
      <w:pPr>
        <w:pStyle w:val="BodyText"/>
        <w:spacing w:before="181" w:line="264" w:lineRule="auto"/>
        <w:rPr>
          <w:b/>
        </w:rPr>
      </w:pPr>
      <w:r w:rsidRPr="00A24F3F">
        <w:rPr>
          <w:b/>
        </w:rPr>
        <w:t>Step 2: Identify the factors that trigger the application of the NQTL.</w:t>
      </w:r>
    </w:p>
    <w:p w14:paraId="24C07F90" w14:textId="07EA6D0A" w:rsidR="00B239CD" w:rsidRDefault="00B239CD" w:rsidP="00B239CD">
      <w:pPr>
        <w:pStyle w:val="BodyText"/>
        <w:spacing w:before="181" w:line="264" w:lineRule="auto"/>
      </w:pPr>
      <w:r>
        <w:t>Demonstrate that comparable factors were used to determine the applicability of the NQTL for the identified MH/SUD benefits as were used for medical/surgical</w:t>
      </w:r>
      <w:r>
        <w:rPr>
          <w:spacing w:val="-9"/>
        </w:rPr>
        <w:t xml:space="preserve"> </w:t>
      </w:r>
      <w:r>
        <w:t>benefits,</w:t>
      </w:r>
      <w:r>
        <w:rPr>
          <w:spacing w:val="-9"/>
        </w:rPr>
        <w:t xml:space="preserve"> </w:t>
      </w:r>
      <w:r>
        <w:t>including</w:t>
      </w:r>
      <w:r>
        <w:rPr>
          <w:spacing w:val="-9"/>
        </w:rPr>
        <w:t xml:space="preserve"> </w:t>
      </w:r>
      <w:r>
        <w:t>the</w:t>
      </w:r>
      <w:r>
        <w:rPr>
          <w:spacing w:val="-9"/>
        </w:rPr>
        <w:t xml:space="preserve"> </w:t>
      </w:r>
      <w:r>
        <w:t>sources</w:t>
      </w:r>
      <w:r>
        <w:rPr>
          <w:spacing w:val="-9"/>
        </w:rPr>
        <w:t xml:space="preserve"> </w:t>
      </w:r>
      <w:r>
        <w:t>for</w:t>
      </w:r>
      <w:r>
        <w:rPr>
          <w:spacing w:val="-9"/>
        </w:rPr>
        <w:t xml:space="preserve"> </w:t>
      </w:r>
      <w:r>
        <w:t>ascertaining</w:t>
      </w:r>
      <w:r>
        <w:rPr>
          <w:spacing w:val="-9"/>
        </w:rPr>
        <w:t xml:space="preserve"> </w:t>
      </w:r>
      <w:r>
        <w:t>each</w:t>
      </w:r>
      <w:r>
        <w:rPr>
          <w:spacing w:val="-9"/>
        </w:rPr>
        <w:t xml:space="preserve"> </w:t>
      </w:r>
      <w:r>
        <w:t>of</w:t>
      </w:r>
      <w:r>
        <w:rPr>
          <w:spacing w:val="-9"/>
        </w:rPr>
        <w:t xml:space="preserve"> </w:t>
      </w:r>
      <w:r>
        <w:t>these</w:t>
      </w:r>
      <w:r>
        <w:rPr>
          <w:spacing w:val="-9"/>
        </w:rPr>
        <w:t xml:space="preserve"> </w:t>
      </w:r>
      <w:r>
        <w:t>factors.</w:t>
      </w:r>
      <w:r>
        <w:rPr>
          <w:spacing w:val="-9"/>
        </w:rPr>
        <w:t xml:space="preserve"> </w:t>
      </w:r>
      <w:r>
        <w:t>List</w:t>
      </w:r>
      <w:r>
        <w:rPr>
          <w:spacing w:val="-9"/>
        </w:rPr>
        <w:t xml:space="preserve"> </w:t>
      </w:r>
      <w:r>
        <w:t>factors that</w:t>
      </w:r>
      <w:r>
        <w:rPr>
          <w:spacing w:val="-6"/>
        </w:rPr>
        <w:t xml:space="preserve"> </w:t>
      </w:r>
      <w:r>
        <w:t>were</w:t>
      </w:r>
      <w:r>
        <w:rPr>
          <w:spacing w:val="-6"/>
        </w:rPr>
        <w:t xml:space="preserve"> </w:t>
      </w:r>
      <w:r>
        <w:t>relied</w:t>
      </w:r>
      <w:r>
        <w:rPr>
          <w:spacing w:val="-6"/>
        </w:rPr>
        <w:t xml:space="preserve"> </w:t>
      </w:r>
      <w:r>
        <w:t>upon</w:t>
      </w:r>
      <w:r>
        <w:rPr>
          <w:spacing w:val="-6"/>
        </w:rPr>
        <w:t xml:space="preserve"> </w:t>
      </w:r>
      <w:r>
        <w:t>but</w:t>
      </w:r>
      <w:r>
        <w:rPr>
          <w:spacing w:val="-6"/>
        </w:rPr>
        <w:t xml:space="preserve"> </w:t>
      </w:r>
      <w:r>
        <w:t>subsequently</w:t>
      </w:r>
      <w:r>
        <w:rPr>
          <w:spacing w:val="-6"/>
        </w:rPr>
        <w:t xml:space="preserve"> </w:t>
      </w:r>
      <w:r>
        <w:t>rejected</w:t>
      </w:r>
      <w:r>
        <w:rPr>
          <w:spacing w:val="-6"/>
        </w:rPr>
        <w:t xml:space="preserve"> </w:t>
      </w:r>
      <w:r>
        <w:t>and</w:t>
      </w:r>
      <w:r>
        <w:rPr>
          <w:spacing w:val="-6"/>
        </w:rPr>
        <w:t xml:space="preserve"> </w:t>
      </w:r>
      <w:r>
        <w:t>the</w:t>
      </w:r>
      <w:r>
        <w:rPr>
          <w:spacing w:val="-6"/>
        </w:rPr>
        <w:t xml:space="preserve"> </w:t>
      </w:r>
      <w:r>
        <w:t>rationale</w:t>
      </w:r>
      <w:r>
        <w:rPr>
          <w:spacing w:val="-6"/>
        </w:rPr>
        <w:t xml:space="preserve"> </w:t>
      </w:r>
      <w:r>
        <w:t>for</w:t>
      </w:r>
      <w:r>
        <w:rPr>
          <w:spacing w:val="-6"/>
        </w:rPr>
        <w:t xml:space="preserve"> </w:t>
      </w:r>
      <w:r>
        <w:t>rejecting</w:t>
      </w:r>
      <w:r>
        <w:rPr>
          <w:spacing w:val="-6"/>
        </w:rPr>
        <w:t xml:space="preserve"> </w:t>
      </w:r>
      <w:r>
        <w:t>those</w:t>
      </w:r>
      <w:r>
        <w:rPr>
          <w:spacing w:val="-6"/>
        </w:rPr>
        <w:t xml:space="preserve"> </w:t>
      </w:r>
      <w:r>
        <w:t xml:space="preserve">factors. </w:t>
      </w:r>
    </w:p>
    <w:p w14:paraId="2F50126A" w14:textId="77777777" w:rsidR="005410B9" w:rsidRDefault="005410B9" w:rsidP="00F01953">
      <w:pPr>
        <w:pStyle w:val="BodyText"/>
        <w:spacing w:before="8"/>
      </w:pPr>
    </w:p>
    <w:p w14:paraId="2DDF3377" w14:textId="77777777" w:rsidR="005410B9" w:rsidRPr="00FF3C97" w:rsidRDefault="005410B9" w:rsidP="00F01953">
      <w:pPr>
        <w:pStyle w:val="BodyText"/>
        <w:spacing w:line="264" w:lineRule="auto"/>
        <w:rPr>
          <w:i/>
        </w:rPr>
      </w:pPr>
      <w:r w:rsidRPr="00FF3C97">
        <w:rPr>
          <w:i/>
        </w:rPr>
        <w:t>Examples of factors for medical management and utilization review include (these examples are merely illustrative and not exhaustive):</w:t>
      </w:r>
    </w:p>
    <w:p w14:paraId="66C63698" w14:textId="77777777" w:rsidR="005410B9" w:rsidRDefault="005410B9" w:rsidP="00F01953">
      <w:pPr>
        <w:pStyle w:val="BodyText"/>
        <w:numPr>
          <w:ilvl w:val="0"/>
          <w:numId w:val="1"/>
        </w:numPr>
        <w:spacing w:before="141"/>
        <w:ind w:left="648"/>
      </w:pPr>
      <w:r>
        <w:rPr>
          <w:w w:val="105"/>
        </w:rPr>
        <w:t>Excessive utilization</w:t>
      </w:r>
    </w:p>
    <w:p w14:paraId="5D29414E" w14:textId="77777777" w:rsidR="005410B9" w:rsidRDefault="005410B9" w:rsidP="00F01953">
      <w:pPr>
        <w:pStyle w:val="BodyText"/>
        <w:numPr>
          <w:ilvl w:val="0"/>
          <w:numId w:val="1"/>
        </w:numPr>
        <w:spacing w:before="167"/>
        <w:ind w:left="648"/>
      </w:pPr>
      <w:r>
        <w:t>Recent medical cost escalation</w:t>
      </w:r>
    </w:p>
    <w:p w14:paraId="12BB303F" w14:textId="77777777" w:rsidR="005410B9" w:rsidRDefault="005410B9" w:rsidP="00F01953">
      <w:pPr>
        <w:pStyle w:val="BodyText"/>
        <w:numPr>
          <w:ilvl w:val="0"/>
          <w:numId w:val="1"/>
        </w:numPr>
        <w:spacing w:before="168"/>
        <w:ind w:left="648"/>
      </w:pPr>
      <w:r>
        <w:t>Lack of adherence to quality standards</w:t>
      </w:r>
    </w:p>
    <w:p w14:paraId="32368B5F" w14:textId="77777777" w:rsidR="005410B9" w:rsidRDefault="005410B9" w:rsidP="00F01953">
      <w:pPr>
        <w:pStyle w:val="BodyText"/>
        <w:numPr>
          <w:ilvl w:val="0"/>
          <w:numId w:val="1"/>
        </w:numPr>
        <w:spacing w:before="167"/>
        <w:ind w:left="648"/>
      </w:pPr>
      <w:r>
        <w:t>High levels of variation in length of stay</w:t>
      </w:r>
    </w:p>
    <w:p w14:paraId="718D94F9" w14:textId="77777777" w:rsidR="005410B9" w:rsidRDefault="005410B9" w:rsidP="00F01953">
      <w:pPr>
        <w:pStyle w:val="BodyText"/>
        <w:numPr>
          <w:ilvl w:val="0"/>
          <w:numId w:val="1"/>
        </w:numPr>
        <w:spacing w:before="168"/>
        <w:ind w:left="648"/>
      </w:pPr>
      <w:r>
        <w:t>High variability in cost per episode of care</w:t>
      </w:r>
    </w:p>
    <w:p w14:paraId="5F991003" w14:textId="77777777" w:rsidR="005410B9" w:rsidRDefault="005410B9" w:rsidP="00F01953">
      <w:pPr>
        <w:pStyle w:val="BodyText"/>
        <w:numPr>
          <w:ilvl w:val="0"/>
          <w:numId w:val="1"/>
        </w:numPr>
        <w:spacing w:before="167"/>
        <w:ind w:left="648"/>
      </w:pPr>
      <w:r>
        <w:t>Clinical efficacy of the proposed treatment or service</w:t>
      </w:r>
    </w:p>
    <w:p w14:paraId="0E08312A" w14:textId="77777777" w:rsidR="005410B9" w:rsidRDefault="005410B9" w:rsidP="00F01953">
      <w:pPr>
        <w:pStyle w:val="BodyText"/>
        <w:numPr>
          <w:ilvl w:val="0"/>
          <w:numId w:val="1"/>
        </w:numPr>
        <w:spacing w:before="167"/>
        <w:ind w:left="648"/>
      </w:pPr>
      <w:r>
        <w:t>Provider discretion in determining diagnoses</w:t>
      </w:r>
    </w:p>
    <w:p w14:paraId="6B52C536" w14:textId="77777777" w:rsidR="005410B9" w:rsidRDefault="005410B9" w:rsidP="00F01953">
      <w:pPr>
        <w:pStyle w:val="BodyText"/>
        <w:numPr>
          <w:ilvl w:val="0"/>
          <w:numId w:val="1"/>
        </w:numPr>
        <w:spacing w:before="168"/>
        <w:ind w:left="648"/>
      </w:pPr>
      <w:r>
        <w:t>Claims associated with a high percentage of fraud</w:t>
      </w:r>
    </w:p>
    <w:p w14:paraId="6164A838" w14:textId="77777777" w:rsidR="005410B9" w:rsidRDefault="005410B9" w:rsidP="00F01953">
      <w:pPr>
        <w:pStyle w:val="BodyText"/>
        <w:numPr>
          <w:ilvl w:val="0"/>
          <w:numId w:val="1"/>
        </w:numPr>
        <w:spacing w:before="167"/>
        <w:ind w:left="648"/>
      </w:pPr>
      <w:r>
        <w:t>Severity or chronicity of the MH/SUD or medical/surgical condition</w:t>
      </w:r>
    </w:p>
    <w:p w14:paraId="6D965311" w14:textId="77777777" w:rsidR="005410B9" w:rsidRDefault="005410B9" w:rsidP="005410B9">
      <w:pPr>
        <w:pStyle w:val="BodyText"/>
        <w:spacing w:before="11"/>
        <w:rPr>
          <w:sz w:val="25"/>
        </w:rPr>
      </w:pPr>
    </w:p>
    <w:p w14:paraId="3AFDB481" w14:textId="77777777" w:rsidR="005410B9" w:rsidRPr="00FF3C97" w:rsidRDefault="005410B9" w:rsidP="000C1D07">
      <w:pPr>
        <w:pStyle w:val="BodyText"/>
        <w:spacing w:before="1"/>
        <w:rPr>
          <w:i/>
        </w:rPr>
      </w:pPr>
      <w:r w:rsidRPr="00FF3C97">
        <w:rPr>
          <w:i/>
        </w:rPr>
        <w:t>Examples of sources for medical management and utilization review factors include:</w:t>
      </w:r>
    </w:p>
    <w:p w14:paraId="3202801F" w14:textId="77777777" w:rsidR="005410B9" w:rsidRDefault="005410B9" w:rsidP="000C1D07">
      <w:pPr>
        <w:pStyle w:val="BodyText"/>
        <w:numPr>
          <w:ilvl w:val="0"/>
          <w:numId w:val="2"/>
        </w:numPr>
        <w:spacing w:before="167"/>
        <w:ind w:left="648"/>
      </w:pPr>
      <w:r>
        <w:rPr>
          <w:w w:val="105"/>
        </w:rPr>
        <w:t>Internal claims analyses</w:t>
      </w:r>
    </w:p>
    <w:p w14:paraId="24F9F523" w14:textId="77777777" w:rsidR="005410B9" w:rsidRDefault="005410B9" w:rsidP="000C1D07">
      <w:pPr>
        <w:pStyle w:val="BodyText"/>
        <w:numPr>
          <w:ilvl w:val="0"/>
          <w:numId w:val="2"/>
        </w:numPr>
        <w:spacing w:before="167"/>
        <w:ind w:left="648"/>
      </w:pPr>
      <w:r>
        <w:t>Internal quality standard studies</w:t>
      </w:r>
    </w:p>
    <w:p w14:paraId="5095ACF4" w14:textId="0DF1BE35" w:rsidR="00582BE4" w:rsidRPr="00582BE4" w:rsidRDefault="005410B9" w:rsidP="000C1D07">
      <w:pPr>
        <w:pStyle w:val="BodyText"/>
        <w:numPr>
          <w:ilvl w:val="0"/>
          <w:numId w:val="2"/>
        </w:numPr>
        <w:spacing w:before="168"/>
        <w:ind w:left="648"/>
      </w:pPr>
      <w:r>
        <w:rPr>
          <w:w w:val="105"/>
        </w:rPr>
        <w:lastRenderedPageBreak/>
        <w:t>Expert medical review</w:t>
      </w:r>
    </w:p>
    <w:p w14:paraId="2223DC24" w14:textId="77777777" w:rsidR="005410B9" w:rsidRPr="00FF3C97" w:rsidRDefault="005410B9" w:rsidP="000C1D07">
      <w:pPr>
        <w:pStyle w:val="BodyText"/>
        <w:spacing w:before="140"/>
        <w:rPr>
          <w:i/>
        </w:rPr>
      </w:pPr>
      <w:r w:rsidRPr="00FF3C97">
        <w:rPr>
          <w:i/>
        </w:rPr>
        <w:t>Examples of factors for provider network adequacy include:</w:t>
      </w:r>
    </w:p>
    <w:p w14:paraId="54C124EC" w14:textId="77777777" w:rsidR="005410B9" w:rsidRDefault="005410B9" w:rsidP="000C1D07">
      <w:pPr>
        <w:pStyle w:val="BodyText"/>
        <w:numPr>
          <w:ilvl w:val="2"/>
          <w:numId w:val="5"/>
        </w:numPr>
        <w:spacing w:before="165"/>
        <w:ind w:left="648"/>
        <w:jc w:val="both"/>
      </w:pPr>
      <w:r>
        <w:rPr>
          <w:w w:val="105"/>
        </w:rPr>
        <w:t>Service type</w:t>
      </w:r>
    </w:p>
    <w:p w14:paraId="10B25564" w14:textId="77777777" w:rsidR="005410B9" w:rsidRDefault="005410B9" w:rsidP="000C1D07">
      <w:pPr>
        <w:pStyle w:val="BodyText"/>
        <w:numPr>
          <w:ilvl w:val="2"/>
          <w:numId w:val="5"/>
        </w:numPr>
        <w:spacing w:before="164"/>
        <w:ind w:left="648"/>
        <w:jc w:val="both"/>
      </w:pPr>
      <w:r>
        <w:rPr>
          <w:w w:val="105"/>
        </w:rPr>
        <w:t>Geographic market</w:t>
      </w:r>
    </w:p>
    <w:p w14:paraId="2482A722" w14:textId="77777777" w:rsidR="005410B9" w:rsidRDefault="005410B9" w:rsidP="000C1D07">
      <w:pPr>
        <w:pStyle w:val="BodyText"/>
        <w:numPr>
          <w:ilvl w:val="2"/>
          <w:numId w:val="5"/>
        </w:numPr>
        <w:spacing w:before="165"/>
        <w:ind w:left="648"/>
        <w:jc w:val="both"/>
      </w:pPr>
      <w:r>
        <w:t>Current demand for services</w:t>
      </w:r>
    </w:p>
    <w:p w14:paraId="435299F8" w14:textId="77777777" w:rsidR="005410B9" w:rsidRDefault="005410B9" w:rsidP="000C1D07">
      <w:pPr>
        <w:pStyle w:val="BodyText"/>
        <w:numPr>
          <w:ilvl w:val="2"/>
          <w:numId w:val="5"/>
        </w:numPr>
        <w:spacing w:before="164"/>
        <w:ind w:left="648"/>
        <w:jc w:val="both"/>
      </w:pPr>
      <w:r>
        <w:t>Projected demand for services</w:t>
      </w:r>
    </w:p>
    <w:p w14:paraId="52E99808" w14:textId="77777777" w:rsidR="005410B9" w:rsidRDefault="005410B9" w:rsidP="000C1D07">
      <w:pPr>
        <w:pStyle w:val="BodyText"/>
        <w:numPr>
          <w:ilvl w:val="2"/>
          <w:numId w:val="5"/>
        </w:numPr>
        <w:spacing w:before="165"/>
        <w:ind w:left="648"/>
        <w:jc w:val="both"/>
      </w:pPr>
      <w:r>
        <w:t>Practitioner supply and provider-to-enrollee ratios</w:t>
      </w:r>
    </w:p>
    <w:p w14:paraId="667A5C0C" w14:textId="77777777" w:rsidR="005410B9" w:rsidRDefault="005410B9" w:rsidP="000C1D07">
      <w:pPr>
        <w:pStyle w:val="BodyText"/>
        <w:numPr>
          <w:ilvl w:val="2"/>
          <w:numId w:val="5"/>
        </w:numPr>
        <w:spacing w:before="164"/>
        <w:ind w:left="648"/>
        <w:jc w:val="both"/>
      </w:pPr>
      <w:r>
        <w:rPr>
          <w:w w:val="105"/>
        </w:rPr>
        <w:t>Wait times</w:t>
      </w:r>
    </w:p>
    <w:p w14:paraId="7F2A1CD6" w14:textId="77777777" w:rsidR="005410B9" w:rsidRDefault="005410B9" w:rsidP="000C1D07">
      <w:pPr>
        <w:pStyle w:val="BodyText"/>
        <w:numPr>
          <w:ilvl w:val="2"/>
          <w:numId w:val="5"/>
        </w:numPr>
        <w:spacing w:before="165"/>
        <w:ind w:left="648"/>
        <w:jc w:val="both"/>
      </w:pPr>
      <w:r>
        <w:rPr>
          <w:w w:val="105"/>
        </w:rPr>
        <w:t>Geographic access standards</w:t>
      </w:r>
    </w:p>
    <w:p w14:paraId="0DA12DD7" w14:textId="77777777" w:rsidR="005410B9" w:rsidRDefault="005410B9" w:rsidP="000C1D07">
      <w:pPr>
        <w:pStyle w:val="BodyText"/>
        <w:numPr>
          <w:ilvl w:val="2"/>
          <w:numId w:val="5"/>
        </w:numPr>
        <w:spacing w:before="164"/>
        <w:ind w:left="648"/>
        <w:jc w:val="both"/>
      </w:pPr>
      <w:r>
        <w:rPr>
          <w:w w:val="105"/>
        </w:rPr>
        <w:t>Out-of-network utilization rates</w:t>
      </w:r>
    </w:p>
    <w:p w14:paraId="7B683A63" w14:textId="77777777" w:rsidR="005410B9" w:rsidRPr="00FF3C97" w:rsidRDefault="005410B9" w:rsidP="005410B9">
      <w:pPr>
        <w:pStyle w:val="BodyText"/>
        <w:spacing w:before="8"/>
        <w:rPr>
          <w:i/>
          <w:sz w:val="25"/>
        </w:rPr>
      </w:pPr>
    </w:p>
    <w:p w14:paraId="6894EB63" w14:textId="77777777" w:rsidR="005410B9" w:rsidRPr="00FF3C97" w:rsidRDefault="005410B9" w:rsidP="000C1D07">
      <w:pPr>
        <w:pStyle w:val="BodyText"/>
        <w:rPr>
          <w:i/>
        </w:rPr>
      </w:pPr>
      <w:r w:rsidRPr="00FF3C97">
        <w:rPr>
          <w:i/>
        </w:rPr>
        <w:t>Examples of sources for provider network adequacy factors include:</w:t>
      </w:r>
    </w:p>
    <w:p w14:paraId="341725E2" w14:textId="77777777" w:rsidR="005410B9" w:rsidRDefault="005410B9" w:rsidP="000C1D07">
      <w:pPr>
        <w:pStyle w:val="BodyText"/>
        <w:numPr>
          <w:ilvl w:val="0"/>
          <w:numId w:val="6"/>
        </w:numPr>
        <w:spacing w:before="165"/>
        <w:ind w:left="648"/>
        <w:jc w:val="both"/>
      </w:pPr>
      <w:r>
        <w:t>State and federal regulatory requirements</w:t>
      </w:r>
    </w:p>
    <w:p w14:paraId="77151EAC" w14:textId="77777777" w:rsidR="005410B9" w:rsidRDefault="005410B9" w:rsidP="000C1D07">
      <w:pPr>
        <w:pStyle w:val="BodyText"/>
        <w:numPr>
          <w:ilvl w:val="0"/>
          <w:numId w:val="6"/>
        </w:numPr>
        <w:spacing w:before="164"/>
        <w:ind w:left="648"/>
        <w:jc w:val="both"/>
      </w:pPr>
      <w:r>
        <w:rPr>
          <w:w w:val="105"/>
        </w:rPr>
        <w:t>National accreditation standards</w:t>
      </w:r>
    </w:p>
    <w:p w14:paraId="0046A8F2" w14:textId="77777777" w:rsidR="005410B9" w:rsidRDefault="005410B9" w:rsidP="000C1D07">
      <w:pPr>
        <w:pStyle w:val="BodyText"/>
        <w:numPr>
          <w:ilvl w:val="0"/>
          <w:numId w:val="6"/>
        </w:numPr>
        <w:spacing w:before="165"/>
        <w:ind w:left="648"/>
        <w:jc w:val="both"/>
      </w:pPr>
      <w:r>
        <w:t>Internal plan market analyses</w:t>
      </w:r>
    </w:p>
    <w:p w14:paraId="31CBF427" w14:textId="77777777" w:rsidR="005410B9" w:rsidRDefault="005410B9" w:rsidP="000C1D07">
      <w:pPr>
        <w:pStyle w:val="BodyText"/>
        <w:numPr>
          <w:ilvl w:val="0"/>
          <w:numId w:val="6"/>
        </w:numPr>
        <w:spacing w:before="164"/>
        <w:ind w:left="648"/>
        <w:jc w:val="both"/>
      </w:pPr>
      <w:r>
        <w:rPr>
          <w:w w:val="105"/>
        </w:rPr>
        <w:t>CAHPS data</w:t>
      </w:r>
    </w:p>
    <w:p w14:paraId="78624466" w14:textId="77777777" w:rsidR="005410B9" w:rsidRPr="00FF3C97" w:rsidRDefault="005410B9" w:rsidP="005410B9">
      <w:pPr>
        <w:pStyle w:val="BodyText"/>
        <w:spacing w:before="8"/>
        <w:rPr>
          <w:i/>
          <w:sz w:val="25"/>
        </w:rPr>
      </w:pPr>
    </w:p>
    <w:p w14:paraId="6CE6E92C" w14:textId="77777777" w:rsidR="005410B9" w:rsidRPr="00FF3C97" w:rsidRDefault="005410B9" w:rsidP="000C1D07">
      <w:pPr>
        <w:pStyle w:val="BodyText"/>
        <w:rPr>
          <w:i/>
        </w:rPr>
      </w:pPr>
      <w:r w:rsidRPr="00FF3C97">
        <w:rPr>
          <w:i/>
        </w:rPr>
        <w:t>Examples of factors for provider reimbursement include:</w:t>
      </w:r>
    </w:p>
    <w:p w14:paraId="718C4161" w14:textId="77777777" w:rsidR="005410B9" w:rsidRDefault="005410B9" w:rsidP="000C1D07">
      <w:pPr>
        <w:pStyle w:val="BodyText"/>
        <w:numPr>
          <w:ilvl w:val="0"/>
          <w:numId w:val="4"/>
        </w:numPr>
        <w:spacing w:before="165"/>
        <w:ind w:left="648"/>
        <w:jc w:val="both"/>
      </w:pPr>
      <w:r>
        <w:t>Geographic market (i.e., market rate and payment type for provider type and/or specialty)</w:t>
      </w:r>
    </w:p>
    <w:p w14:paraId="2CB524F2" w14:textId="77777777" w:rsidR="005410B9" w:rsidRDefault="005410B9" w:rsidP="000C1D07">
      <w:pPr>
        <w:pStyle w:val="BodyText"/>
        <w:numPr>
          <w:ilvl w:val="0"/>
          <w:numId w:val="4"/>
        </w:numPr>
        <w:spacing w:before="164"/>
        <w:ind w:left="648"/>
        <w:jc w:val="both"/>
      </w:pPr>
      <w:r>
        <w:t>Provider type (i.e., hospital, clinic, and practitioner) and/or specialty</w:t>
      </w:r>
    </w:p>
    <w:p w14:paraId="3C571162" w14:textId="77777777" w:rsidR="005410B9" w:rsidRDefault="005410B9" w:rsidP="000C1D07">
      <w:pPr>
        <w:pStyle w:val="BodyText"/>
        <w:numPr>
          <w:ilvl w:val="0"/>
          <w:numId w:val="4"/>
        </w:numPr>
        <w:spacing w:before="165"/>
        <w:ind w:left="648"/>
        <w:jc w:val="both"/>
      </w:pPr>
      <w:r>
        <w:t>Supply of provider type and/or specialty</w:t>
      </w:r>
    </w:p>
    <w:p w14:paraId="7342C2A7" w14:textId="77777777" w:rsidR="005410B9" w:rsidRDefault="005410B9" w:rsidP="000C1D07">
      <w:pPr>
        <w:pStyle w:val="BodyText"/>
        <w:numPr>
          <w:ilvl w:val="0"/>
          <w:numId w:val="4"/>
        </w:numPr>
        <w:spacing w:before="164"/>
        <w:ind w:left="648"/>
        <w:jc w:val="both"/>
      </w:pPr>
      <w:r>
        <w:t>Network need and/or demand for provider type and/or specialty</w:t>
      </w:r>
    </w:p>
    <w:p w14:paraId="633269A4" w14:textId="77777777" w:rsidR="005410B9" w:rsidRDefault="005410B9" w:rsidP="000C1D07">
      <w:pPr>
        <w:pStyle w:val="BodyText"/>
        <w:numPr>
          <w:ilvl w:val="0"/>
          <w:numId w:val="4"/>
        </w:numPr>
        <w:spacing w:before="164"/>
        <w:ind w:left="648"/>
        <w:jc w:val="both"/>
      </w:pPr>
      <w:r>
        <w:rPr>
          <w:w w:val="105"/>
        </w:rPr>
        <w:t>Medicare reimbursement rates</w:t>
      </w:r>
    </w:p>
    <w:p w14:paraId="200BA4DA" w14:textId="77777777" w:rsidR="005410B9" w:rsidRDefault="005410B9" w:rsidP="000C1D07">
      <w:pPr>
        <w:pStyle w:val="BodyText"/>
        <w:numPr>
          <w:ilvl w:val="0"/>
          <w:numId w:val="4"/>
        </w:numPr>
        <w:spacing w:before="165"/>
        <w:ind w:left="648"/>
        <w:jc w:val="both"/>
      </w:pPr>
      <w:r>
        <w:t>Training, experience, and licensure of provider</w:t>
      </w:r>
    </w:p>
    <w:p w14:paraId="79C004BA" w14:textId="77777777" w:rsidR="005410B9" w:rsidRPr="00FF3C97" w:rsidRDefault="005410B9" w:rsidP="005410B9">
      <w:pPr>
        <w:pStyle w:val="BodyText"/>
        <w:spacing w:before="8"/>
        <w:rPr>
          <w:i/>
          <w:sz w:val="25"/>
        </w:rPr>
      </w:pPr>
    </w:p>
    <w:p w14:paraId="568242FD" w14:textId="77777777" w:rsidR="005410B9" w:rsidRPr="00FF3C97" w:rsidRDefault="005410B9" w:rsidP="000C1D07">
      <w:pPr>
        <w:pStyle w:val="BodyText"/>
        <w:rPr>
          <w:i/>
        </w:rPr>
      </w:pPr>
      <w:r w:rsidRPr="00FF3C97">
        <w:rPr>
          <w:i/>
        </w:rPr>
        <w:t>Examples of sources for provider reimbursement factors include:</w:t>
      </w:r>
    </w:p>
    <w:p w14:paraId="5E50C1A5" w14:textId="77777777" w:rsidR="005410B9" w:rsidRDefault="005410B9" w:rsidP="000C1D07">
      <w:pPr>
        <w:pStyle w:val="BodyText"/>
        <w:numPr>
          <w:ilvl w:val="0"/>
          <w:numId w:val="3"/>
        </w:numPr>
        <w:spacing w:before="165"/>
        <w:ind w:left="648"/>
      </w:pPr>
      <w:r>
        <w:t>External healthcare claims database (e.g., Fair Health)</w:t>
      </w:r>
    </w:p>
    <w:p w14:paraId="5B21B9B2" w14:textId="77777777" w:rsidR="005410B9" w:rsidRDefault="005410B9" w:rsidP="000C1D07">
      <w:pPr>
        <w:pStyle w:val="BodyText"/>
        <w:numPr>
          <w:ilvl w:val="0"/>
          <w:numId w:val="3"/>
        </w:numPr>
        <w:spacing w:before="164" w:line="384" w:lineRule="auto"/>
        <w:ind w:left="648"/>
        <w:rPr>
          <w:spacing w:val="-3"/>
        </w:rPr>
      </w:pPr>
      <w:r>
        <w:t xml:space="preserve">Medicare Physician </w:t>
      </w:r>
      <w:r>
        <w:rPr>
          <w:spacing w:val="-3"/>
        </w:rPr>
        <w:t xml:space="preserve">Fee Schedule                     </w:t>
      </w:r>
    </w:p>
    <w:p w14:paraId="37DDCAF0" w14:textId="77777777" w:rsidR="005410B9" w:rsidRPr="00A24F3F" w:rsidRDefault="005410B9" w:rsidP="000C1D07">
      <w:pPr>
        <w:pStyle w:val="BodyText"/>
        <w:numPr>
          <w:ilvl w:val="0"/>
          <w:numId w:val="3"/>
        </w:numPr>
        <w:spacing w:before="164" w:line="384" w:lineRule="auto"/>
        <w:ind w:left="648"/>
        <w:rPr>
          <w:spacing w:val="-3"/>
        </w:rPr>
      </w:pPr>
      <w:r>
        <w:t xml:space="preserve">Internal market and competitive analysis </w:t>
      </w:r>
    </w:p>
    <w:p w14:paraId="52BF3AE5" w14:textId="2A16AC75" w:rsidR="005410B9" w:rsidRPr="00A24F3F" w:rsidRDefault="000C1D07" w:rsidP="000C1D07">
      <w:pPr>
        <w:pStyle w:val="BodyText"/>
        <w:numPr>
          <w:ilvl w:val="0"/>
          <w:numId w:val="3"/>
        </w:numPr>
        <w:spacing w:before="164" w:line="384" w:lineRule="auto"/>
        <w:ind w:left="648"/>
        <w:rPr>
          <w:spacing w:val="-3"/>
        </w:rPr>
      </w:pPr>
      <w:r>
        <w:t xml:space="preserve">Medicare </w:t>
      </w:r>
      <w:r w:rsidR="005410B9">
        <w:t>RVUs for CPT</w:t>
      </w:r>
      <w:r w:rsidR="005410B9">
        <w:rPr>
          <w:spacing w:val="15"/>
        </w:rPr>
        <w:t xml:space="preserve"> </w:t>
      </w:r>
      <w:r w:rsidR="005410B9">
        <w:t>codes</w:t>
      </w:r>
    </w:p>
    <w:p w14:paraId="10D89808" w14:textId="6EE6AD10" w:rsidR="005410B9" w:rsidRDefault="005410B9" w:rsidP="000C1D07">
      <w:pPr>
        <w:pStyle w:val="BodyText"/>
        <w:spacing w:before="106" w:line="264" w:lineRule="auto"/>
        <w:ind w:right="1220"/>
        <w:rPr>
          <w:sz w:val="19"/>
        </w:rPr>
      </w:pPr>
      <w:r>
        <w:lastRenderedPageBreak/>
        <w:t>As noted above, these are illustrations of factors and sources are not exhaustive lists of factors and sources. While not illustrated, additional factors would apply to different types of NQTLs.</w:t>
      </w:r>
      <w:r w:rsidR="00582BE4">
        <w:rPr>
          <w:sz w:val="19"/>
        </w:rPr>
        <w:t xml:space="preserve"> </w:t>
      </w:r>
    </w:p>
    <w:p w14:paraId="604D1E28" w14:textId="77777777" w:rsidR="005410B9" w:rsidRPr="00BD4BB0" w:rsidRDefault="005410B9" w:rsidP="000C1D07">
      <w:pPr>
        <w:pStyle w:val="BodyText"/>
        <w:spacing w:before="89" w:line="264" w:lineRule="auto"/>
        <w:ind w:right="1381"/>
        <w:rPr>
          <w:b/>
        </w:rPr>
      </w:pPr>
      <w:r>
        <w:rPr>
          <w:b/>
        </w:rPr>
        <w:t xml:space="preserve">Step 3: </w:t>
      </w:r>
      <w:r w:rsidRPr="00BD4BB0">
        <w:rPr>
          <w:b/>
        </w:rPr>
        <w:t>Identify and describe the evidentiary standard for each of the factors identified in step 2 and any other evidence relied upon to design and apply the NQTL.</w:t>
      </w:r>
    </w:p>
    <w:p w14:paraId="0BC494AC" w14:textId="77777777" w:rsidR="009E5CC5" w:rsidRDefault="009E5CC5" w:rsidP="009E5CC5">
      <w:pPr>
        <w:pStyle w:val="BodyText"/>
        <w:spacing w:before="89" w:line="264" w:lineRule="auto"/>
        <w:ind w:right="1381"/>
      </w:pPr>
      <w:r>
        <w:t>Demonstrate that the evidentiary standard(s) used to define factors identified in Step 2 and any other evidence relied upon to establish the NQTL for MH/SUD benefits are comparable to and applied no more stringently than the evidentiary standard(s) used to define factors and any other evidence relied upon to establish the NQTL for medical/surgical benefits. Describe evidentiary standards that were considered, but rejected and the rationale for rejecting those evidentiary standards.</w:t>
      </w:r>
    </w:p>
    <w:p w14:paraId="0F884E99" w14:textId="77777777" w:rsidR="009E5CC5" w:rsidRDefault="009E5CC5" w:rsidP="009E5CC5">
      <w:pPr>
        <w:pStyle w:val="BodyText"/>
        <w:spacing w:before="3"/>
        <w:rPr>
          <w:sz w:val="20"/>
        </w:rPr>
      </w:pPr>
    </w:p>
    <w:p w14:paraId="7B3BFB53" w14:textId="77777777" w:rsidR="009E5CC5" w:rsidRDefault="009E5CC5" w:rsidP="009E5CC5">
      <w:pPr>
        <w:pStyle w:val="BodyText"/>
        <w:spacing w:line="264" w:lineRule="auto"/>
        <w:ind w:right="1163"/>
      </w:pPr>
      <w:r w:rsidRPr="00610222">
        <w:rPr>
          <w:b/>
        </w:rPr>
        <w:t>Please note the term “evidentiary standards” is not limited to a means for defining “factors”.</w:t>
      </w:r>
      <w:r>
        <w:t xml:space="preserve"> Evidentiary standards also include all evidence a plan considers in designing and applying its medical management techniques, such as recognized medical literature, professional standards and protocols (including comparative effectiveness studies and clinical trials), published research studies, treatment guidelines created by professional medical associations or other third-party entities, publicly available or proprietary clinical definitions, and outcome metrics from consulting or other organizations.</w:t>
      </w:r>
    </w:p>
    <w:p w14:paraId="5FE10499" w14:textId="77777777" w:rsidR="005410B9" w:rsidRDefault="005410B9" w:rsidP="000C1D07">
      <w:pPr>
        <w:pStyle w:val="BodyText"/>
        <w:spacing w:before="9"/>
      </w:pPr>
    </w:p>
    <w:p w14:paraId="567A4503" w14:textId="77777777" w:rsidR="005410B9" w:rsidRPr="00BE0489" w:rsidRDefault="005410B9" w:rsidP="000C1D07">
      <w:pPr>
        <w:pStyle w:val="BodyText"/>
        <w:spacing w:before="1" w:line="264" w:lineRule="auto"/>
        <w:ind w:right="1426"/>
        <w:rPr>
          <w:i/>
        </w:rPr>
      </w:pPr>
      <w:r w:rsidRPr="00BE0489">
        <w:rPr>
          <w:i/>
        </w:rPr>
        <w:t>Examples of evidentiary standards to define the factors identified in Step 2, their sources, and other evidence considered include:</w:t>
      </w:r>
    </w:p>
    <w:p w14:paraId="2BB65F5B" w14:textId="77777777" w:rsidR="005410B9" w:rsidRDefault="005410B9" w:rsidP="000C1D07">
      <w:pPr>
        <w:pStyle w:val="BodyText"/>
        <w:numPr>
          <w:ilvl w:val="2"/>
          <w:numId w:val="7"/>
        </w:numPr>
        <w:spacing w:before="160" w:line="264" w:lineRule="auto"/>
        <w:ind w:left="648" w:right="1381"/>
      </w:pPr>
      <w:r>
        <w:t>Two standard deviations above average utilization per episode of care may define excessive utilization based on internal claims data.</w:t>
      </w:r>
    </w:p>
    <w:p w14:paraId="0E74E2AE" w14:textId="77777777" w:rsidR="005410B9" w:rsidRDefault="005410B9" w:rsidP="000C1D07">
      <w:pPr>
        <w:pStyle w:val="BodyText"/>
        <w:numPr>
          <w:ilvl w:val="2"/>
          <w:numId w:val="7"/>
        </w:numPr>
        <w:spacing w:before="160" w:line="264" w:lineRule="auto"/>
        <w:ind w:left="648" w:right="1220"/>
      </w:pPr>
      <w:r>
        <w:t>Medical costs for certain services increased 10% or more per year for 2 years may define recent medical cost escalation per internal claims data.</w:t>
      </w:r>
    </w:p>
    <w:p w14:paraId="3528DEAA" w14:textId="77777777" w:rsidR="005410B9" w:rsidRDefault="005410B9" w:rsidP="000C1D07">
      <w:pPr>
        <w:pStyle w:val="BodyText"/>
        <w:numPr>
          <w:ilvl w:val="2"/>
          <w:numId w:val="7"/>
        </w:numPr>
        <w:spacing w:before="161" w:line="264" w:lineRule="auto"/>
        <w:ind w:left="648" w:right="1381"/>
      </w:pPr>
      <w:r>
        <w:t>Not in conformance with generally accepted quality standards for a specific disease category more than 30% of time based on clinical chart reviews may define lack of adherence to quality standards.</w:t>
      </w:r>
    </w:p>
    <w:p w14:paraId="7BF2F519" w14:textId="77777777" w:rsidR="005410B9" w:rsidRDefault="005410B9" w:rsidP="000C1D07">
      <w:pPr>
        <w:pStyle w:val="BodyText"/>
        <w:numPr>
          <w:ilvl w:val="2"/>
          <w:numId w:val="7"/>
        </w:numPr>
        <w:spacing w:before="160" w:line="264" w:lineRule="auto"/>
        <w:ind w:left="648" w:right="1381"/>
      </w:pPr>
      <w:r>
        <w:t>Claims data showed 25% of patients stayed longer than the median length of stay for acute hospital episodes of care may define high level of variation in length of stay.</w:t>
      </w:r>
    </w:p>
    <w:p w14:paraId="32B1BC04" w14:textId="77777777" w:rsidR="005410B9" w:rsidRDefault="005410B9" w:rsidP="000C1D07">
      <w:pPr>
        <w:pStyle w:val="BodyText"/>
        <w:numPr>
          <w:ilvl w:val="2"/>
          <w:numId w:val="7"/>
        </w:numPr>
        <w:spacing w:before="161" w:line="264" w:lineRule="auto"/>
        <w:ind w:left="648" w:right="1154"/>
      </w:pPr>
      <w:r>
        <w:t xml:space="preserve">Episodes of outpatient care are 2 standard deviations higher in </w:t>
      </w:r>
      <w:r>
        <w:lastRenderedPageBreak/>
        <w:t>total costs than the average cost per episode 20% of the time in a 12-month period may define high variability in cost per</w:t>
      </w:r>
      <w:r>
        <w:rPr>
          <w:spacing w:val="-1"/>
        </w:rPr>
        <w:t xml:space="preserve"> </w:t>
      </w:r>
      <w:r>
        <w:t>episode.</w:t>
      </w:r>
    </w:p>
    <w:p w14:paraId="6786A9B6" w14:textId="77777777" w:rsidR="005410B9" w:rsidRDefault="005410B9" w:rsidP="000C1D07">
      <w:pPr>
        <w:pStyle w:val="BodyText"/>
        <w:numPr>
          <w:ilvl w:val="2"/>
          <w:numId w:val="7"/>
        </w:numPr>
        <w:spacing w:before="160" w:line="264" w:lineRule="auto"/>
        <w:ind w:left="648" w:right="1453"/>
      </w:pPr>
      <w:r>
        <w:t>More than 50% of outpatient episodes of care for specific disease entities are not based on evidence-based interventions (as defined by treatment guidelines published by professional organizations or based on health services research) in a medical record review of a 12-month sample (may define lack of clinical efficacy or inconsistency with recognized standards of care).</w:t>
      </w:r>
    </w:p>
    <w:p w14:paraId="3A98FD40" w14:textId="77777777" w:rsidR="005410B9" w:rsidRDefault="005410B9" w:rsidP="000C1D07">
      <w:pPr>
        <w:pStyle w:val="BodyText"/>
        <w:numPr>
          <w:ilvl w:val="2"/>
          <w:numId w:val="7"/>
        </w:numPr>
        <w:spacing w:before="140" w:line="264" w:lineRule="auto"/>
        <w:ind w:left="648" w:right="549"/>
      </w:pPr>
      <w:r>
        <w:t>Two published RCTs required to establish a treatment or service is not experimental or investigational.</w:t>
      </w:r>
    </w:p>
    <w:p w14:paraId="1A3855AC" w14:textId="77777777" w:rsidR="005410B9" w:rsidRDefault="005410B9" w:rsidP="000C1D07">
      <w:pPr>
        <w:pStyle w:val="BodyText"/>
        <w:numPr>
          <w:ilvl w:val="2"/>
          <w:numId w:val="7"/>
        </w:numPr>
        <w:spacing w:before="161" w:line="264" w:lineRule="auto"/>
        <w:ind w:left="648" w:right="1220"/>
      </w:pPr>
      <w:r>
        <w:t>Professionally recognized treatment guidelines used to define clinically appropriate standards of care such as ASAM criteria or APA treatment guidelines.</w:t>
      </w:r>
    </w:p>
    <w:p w14:paraId="7E3B5DA7" w14:textId="77777777" w:rsidR="005410B9" w:rsidRDefault="005410B9" w:rsidP="000C1D07">
      <w:pPr>
        <w:pStyle w:val="BodyText"/>
        <w:numPr>
          <w:ilvl w:val="2"/>
          <w:numId w:val="7"/>
        </w:numPr>
        <w:spacing w:before="160"/>
        <w:ind w:left="648"/>
      </w:pPr>
      <w:r>
        <w:t>State regulatory standards for health plan network adequacy.</w:t>
      </w:r>
    </w:p>
    <w:p w14:paraId="4684DC62" w14:textId="77777777" w:rsidR="005410B9" w:rsidRDefault="005410B9" w:rsidP="000C1D07">
      <w:pPr>
        <w:pStyle w:val="BodyText"/>
        <w:numPr>
          <w:ilvl w:val="2"/>
          <w:numId w:val="7"/>
        </w:numPr>
        <w:spacing w:before="188"/>
        <w:ind w:left="648"/>
      </w:pPr>
      <w:r>
        <w:t>Health plan accreditation standards for quality assurance.</w:t>
      </w:r>
    </w:p>
    <w:p w14:paraId="72077A3C" w14:textId="77777777" w:rsidR="005410B9" w:rsidRDefault="005410B9" w:rsidP="005410B9">
      <w:pPr>
        <w:pStyle w:val="BodyText"/>
        <w:spacing w:before="6"/>
        <w:rPr>
          <w:sz w:val="22"/>
        </w:rPr>
      </w:pPr>
    </w:p>
    <w:p w14:paraId="23E93973" w14:textId="77777777" w:rsidR="005410B9" w:rsidRDefault="005410B9" w:rsidP="000C1D07">
      <w:pPr>
        <w:pStyle w:val="BodyText"/>
        <w:spacing w:line="264" w:lineRule="auto"/>
        <w:ind w:right="1328"/>
      </w:pPr>
      <w:r>
        <w:t>As noted above, these are illustrations of evidentiary standards and are not an exhaustive list of evidentiary standards. While not illustrated, additional evidentiary standards would apply to different types of NQTLs.</w:t>
      </w:r>
    </w:p>
    <w:p w14:paraId="454DA8C0" w14:textId="77777777" w:rsidR="005410B9" w:rsidRDefault="005410B9" w:rsidP="000C1D07">
      <w:pPr>
        <w:pStyle w:val="BodyText"/>
        <w:rPr>
          <w:sz w:val="13"/>
        </w:rPr>
      </w:pPr>
    </w:p>
    <w:p w14:paraId="4F4F9B86" w14:textId="77777777" w:rsidR="005410B9" w:rsidRDefault="005410B9" w:rsidP="000C1D07">
      <w:pPr>
        <w:pStyle w:val="BodyText"/>
        <w:spacing w:before="2"/>
        <w:rPr>
          <w:sz w:val="21"/>
        </w:rPr>
      </w:pPr>
    </w:p>
    <w:p w14:paraId="3C0E5259" w14:textId="77777777" w:rsidR="005410B9" w:rsidRPr="00BE0489" w:rsidRDefault="005410B9" w:rsidP="000C1D07">
      <w:pPr>
        <w:pStyle w:val="BodyText"/>
        <w:spacing w:line="264" w:lineRule="auto"/>
        <w:ind w:right="1056"/>
        <w:rPr>
          <w:b/>
        </w:rPr>
      </w:pPr>
      <w:r w:rsidRPr="00BE0489">
        <w:rPr>
          <w:b/>
        </w:rPr>
        <w:t xml:space="preserve">Step 4: Provide the comparative analyses used to </w:t>
      </w:r>
      <w:r>
        <w:rPr>
          <w:b/>
        </w:rPr>
        <w:t>determine as written comparability and equivalent stringency</w:t>
      </w:r>
      <w:r w:rsidRPr="00BE0489">
        <w:rPr>
          <w:b/>
        </w:rPr>
        <w:t>.</w:t>
      </w:r>
    </w:p>
    <w:p w14:paraId="0C7A050A" w14:textId="77777777" w:rsidR="005410B9" w:rsidRDefault="005410B9" w:rsidP="000C1D07">
      <w:pPr>
        <w:pStyle w:val="BodyText"/>
        <w:spacing w:line="264" w:lineRule="auto"/>
        <w:ind w:right="1056"/>
      </w:pPr>
    </w:p>
    <w:p w14:paraId="0D96043A" w14:textId="77777777" w:rsidR="007216A9" w:rsidRDefault="007216A9" w:rsidP="007216A9">
      <w:pPr>
        <w:pStyle w:val="BodyText"/>
        <w:spacing w:line="264" w:lineRule="auto"/>
        <w:ind w:right="1056"/>
      </w:pPr>
      <w:r>
        <w:t>Provide the comparative analyses demonstrating that the processes and strategies used to design the NQTL, as written, for MH/SUD benefits are comparable to and no more stringently applied than the processes and strategies used to design the NQTL, as written, for medical/ surgical benefits.</w:t>
      </w:r>
    </w:p>
    <w:p w14:paraId="4F2CDD7E" w14:textId="77777777" w:rsidR="007216A9" w:rsidRDefault="007216A9" w:rsidP="007216A9">
      <w:pPr>
        <w:pStyle w:val="BodyText"/>
        <w:spacing w:before="4"/>
        <w:rPr>
          <w:sz w:val="20"/>
        </w:rPr>
      </w:pPr>
    </w:p>
    <w:p w14:paraId="0739FC00" w14:textId="77777777" w:rsidR="007216A9" w:rsidRDefault="007216A9" w:rsidP="007216A9">
      <w:pPr>
        <w:pStyle w:val="BodyText"/>
        <w:spacing w:line="264" w:lineRule="auto"/>
        <w:ind w:right="1056"/>
      </w:pPr>
      <w:r>
        <w:t>Processes and strategies used to design NQTLs as written include, but are not limited to, the composition and deliberations of decision-making staff, i.e. the number of staff members allocated, time allocated, qualifications of staff involved, breadth of sources and evidence considered, deviation from generally accepted standards of care, consultations with panels of experts, and reliance on national treatment guidelines or guidelines provided by third-party organizations.</w:t>
      </w:r>
    </w:p>
    <w:p w14:paraId="56853B94" w14:textId="77777777" w:rsidR="007216A9" w:rsidRDefault="007216A9" w:rsidP="007216A9">
      <w:pPr>
        <w:pStyle w:val="BodyText"/>
        <w:spacing w:line="264" w:lineRule="auto"/>
        <w:ind w:right="1056"/>
      </w:pPr>
    </w:p>
    <w:p w14:paraId="504B83B7" w14:textId="77777777" w:rsidR="007216A9" w:rsidRDefault="007216A9" w:rsidP="007216A9">
      <w:pPr>
        <w:pStyle w:val="BodyText"/>
        <w:spacing w:line="264" w:lineRule="auto"/>
        <w:ind w:right="1056"/>
      </w:pPr>
      <w:r>
        <w:t xml:space="preserve">Additional as written processes may include, but are not limited to, </w:t>
      </w:r>
      <w:r w:rsidRPr="00083D90">
        <w:t xml:space="preserve">utilization management manuals, utilization review criteria, specific criteria </w:t>
      </w:r>
      <w:r w:rsidRPr="00083D90">
        <w:lastRenderedPageBreak/>
        <w:t>hierarchy for performing utilization review, factors considered when applying utilization review criteria, initial screening scripts and algorithms, case management referral criteria, stipulations about submitting written treatment plans, utilization management committee and/or quality management committee notes, description of processes for identifying and evaluating clinical issues and utilizing performance goals, delegation agreements, network contracting information, factors that determine reimbursement rates, among others</w:t>
      </w:r>
      <w:r>
        <w:t>.</w:t>
      </w:r>
    </w:p>
    <w:p w14:paraId="7C08F358" w14:textId="77777777" w:rsidR="007216A9" w:rsidRDefault="007216A9" w:rsidP="007216A9">
      <w:pPr>
        <w:pStyle w:val="BodyText"/>
        <w:spacing w:before="4"/>
        <w:rPr>
          <w:sz w:val="20"/>
        </w:rPr>
      </w:pPr>
    </w:p>
    <w:p w14:paraId="7E6C7E70" w14:textId="77777777" w:rsidR="007216A9" w:rsidRDefault="007216A9" w:rsidP="007216A9">
      <w:pPr>
        <w:pStyle w:val="BodyText"/>
        <w:spacing w:line="264" w:lineRule="auto"/>
        <w:ind w:right="1056"/>
      </w:pPr>
      <w:r>
        <w:t>Include the results and conclusions from these analyses that clearly substantiate the NQTL regulatory tests of comparability and equitable application have been met.</w:t>
      </w:r>
    </w:p>
    <w:p w14:paraId="6AF7710F" w14:textId="77777777" w:rsidR="005410B9" w:rsidRDefault="005410B9" w:rsidP="005410B9">
      <w:pPr>
        <w:pStyle w:val="BodyText"/>
        <w:spacing w:before="8"/>
      </w:pPr>
    </w:p>
    <w:p w14:paraId="31B94F46" w14:textId="77777777" w:rsidR="005410B9" w:rsidRDefault="005410B9" w:rsidP="000C1D07">
      <w:pPr>
        <w:pStyle w:val="BodyText"/>
      </w:pPr>
      <w:r>
        <w:t>Examples of comparative analyses include:</w:t>
      </w:r>
    </w:p>
    <w:p w14:paraId="2D230FF7" w14:textId="77777777" w:rsidR="005410B9" w:rsidRDefault="005410B9" w:rsidP="000C1D07">
      <w:pPr>
        <w:pStyle w:val="BodyText"/>
        <w:numPr>
          <w:ilvl w:val="0"/>
          <w:numId w:val="8"/>
        </w:numPr>
        <w:spacing w:before="188" w:line="264" w:lineRule="auto"/>
        <w:ind w:left="648" w:right="1056"/>
      </w:pPr>
      <w:r>
        <w:t>Results from analyses of the health plan’s paid claims that established that the identified factors and evidentiary standards (e.g., recent medical cost escalation which exceeds 10%/year) were present in a comparable manner for both MH/SUD and medical/surgical benefits subject to the NQTL.</w:t>
      </w:r>
    </w:p>
    <w:p w14:paraId="352840E9" w14:textId="77777777" w:rsidR="005410B9" w:rsidRDefault="005410B9" w:rsidP="000C1D07">
      <w:pPr>
        <w:pStyle w:val="BodyText"/>
        <w:numPr>
          <w:ilvl w:val="0"/>
          <w:numId w:val="8"/>
        </w:numPr>
        <w:spacing w:before="140" w:line="264" w:lineRule="auto"/>
        <w:ind w:left="648" w:right="1344"/>
      </w:pPr>
      <w:r>
        <w:t>Internal review of published information (e.g., an information bulletin by a major actuary firm) which identified increasing costs for services for both MH/SUD and medical/surgical conditions and a determination (e.g., an internal claims analyses) by the plan that this key factor(s) was present with similar frequency and magnitude for specific categories of the health plan’s MH/SUD and medical/surgical services.</w:t>
      </w:r>
    </w:p>
    <w:p w14:paraId="644EFDBD" w14:textId="77777777" w:rsidR="005410B9" w:rsidRDefault="005410B9" w:rsidP="000C1D07">
      <w:pPr>
        <w:pStyle w:val="BodyText"/>
        <w:numPr>
          <w:ilvl w:val="0"/>
          <w:numId w:val="8"/>
        </w:numPr>
        <w:spacing w:before="161" w:line="264" w:lineRule="auto"/>
        <w:ind w:left="648" w:right="1382"/>
      </w:pPr>
      <w:r>
        <w:t>A defined process (e.g., internal claims analysis) for analyzing which medical/surgical and MH/SUD services within a specified benefits classification had “high cost variability” (defined by identical factors and evidentiary standards for all services) and, therefore,</w:t>
      </w:r>
      <w:r>
        <w:rPr>
          <w:spacing w:val="-14"/>
        </w:rPr>
        <w:t xml:space="preserve"> </w:t>
      </w:r>
      <w:r>
        <w:t>are subject to a prior authorization, concurrent review and/or retrospective review protocols.</w:t>
      </w:r>
    </w:p>
    <w:p w14:paraId="4569265C" w14:textId="77777777" w:rsidR="005410B9" w:rsidRDefault="005410B9" w:rsidP="000C1D07">
      <w:pPr>
        <w:pStyle w:val="BodyText"/>
        <w:numPr>
          <w:ilvl w:val="0"/>
          <w:numId w:val="8"/>
        </w:numPr>
        <w:spacing w:before="188" w:line="264" w:lineRule="auto"/>
        <w:ind w:left="648" w:right="1220"/>
      </w:pPr>
      <w:r>
        <w:t>A market analysis of various factors to establish provider rates for both MH/SUD and medical/surgical services and to establish that the fee schedule and/or usual and customary rates were comparable.</w:t>
      </w:r>
    </w:p>
    <w:p w14:paraId="6DF16412" w14:textId="77777777" w:rsidR="005410B9" w:rsidRDefault="005410B9" w:rsidP="000C1D07">
      <w:pPr>
        <w:pStyle w:val="BodyText"/>
        <w:numPr>
          <w:ilvl w:val="0"/>
          <w:numId w:val="8"/>
        </w:numPr>
        <w:spacing w:before="160" w:line="264" w:lineRule="auto"/>
        <w:ind w:left="648" w:right="1056"/>
      </w:pPr>
      <w:r>
        <w:t>Internal review of published treatment guidelines by appropriate clinical teams to identify covered treatments or services which lack clinical efficacy.</w:t>
      </w:r>
    </w:p>
    <w:p w14:paraId="6098FFC5" w14:textId="77777777" w:rsidR="005410B9" w:rsidRDefault="005410B9" w:rsidP="000C1D07">
      <w:pPr>
        <w:pStyle w:val="BodyText"/>
        <w:numPr>
          <w:ilvl w:val="0"/>
          <w:numId w:val="8"/>
        </w:numPr>
        <w:spacing w:before="161" w:line="264" w:lineRule="auto"/>
        <w:ind w:left="648" w:right="1361"/>
      </w:pPr>
      <w:r>
        <w:t xml:space="preserve">Internal review to determine that the issuer or health </w:t>
      </w:r>
      <w:r>
        <w:rPr>
          <w:spacing w:val="-4"/>
        </w:rPr>
        <w:t xml:space="preserve">plan’s </w:t>
      </w:r>
      <w:r>
        <w:t xml:space="preserve">panel of experts that determine whether a treatment is medically </w:t>
      </w:r>
      <w:r>
        <w:lastRenderedPageBreak/>
        <w:t>appropriate were comprised of</w:t>
      </w:r>
      <w:r>
        <w:rPr>
          <w:spacing w:val="-12"/>
        </w:rPr>
        <w:t xml:space="preserve"> </w:t>
      </w:r>
      <w:r>
        <w:t>comparable experts for MH/SUD conditions and medical/surgical conditions, and that such experts evaluated and applied nationally-recognized treatment guidelines or other criteria in a comparable</w:t>
      </w:r>
      <w:r>
        <w:rPr>
          <w:spacing w:val="-1"/>
        </w:rPr>
        <w:t xml:space="preserve"> </w:t>
      </w:r>
      <w:r>
        <w:t>manner.</w:t>
      </w:r>
    </w:p>
    <w:p w14:paraId="689924DF" w14:textId="77777777" w:rsidR="005410B9" w:rsidRDefault="005410B9" w:rsidP="000C1D07">
      <w:pPr>
        <w:pStyle w:val="BodyText"/>
        <w:numPr>
          <w:ilvl w:val="0"/>
          <w:numId w:val="8"/>
        </w:numPr>
        <w:spacing w:before="161" w:line="264" w:lineRule="auto"/>
        <w:ind w:left="648" w:right="1586"/>
      </w:pPr>
      <w:r>
        <w:t>Internal review to determine that whether the process of determining which benefits are deemed experimental or investigative for MH/SUD benefits is comparable to the process for determining which medical/surgical benefits are deemed experimental or investigational.</w:t>
      </w:r>
    </w:p>
    <w:p w14:paraId="562865F6" w14:textId="77777777" w:rsidR="005410B9" w:rsidRDefault="005410B9" w:rsidP="005410B9">
      <w:pPr>
        <w:pStyle w:val="BodyText"/>
        <w:spacing w:before="3"/>
        <w:rPr>
          <w:sz w:val="20"/>
        </w:rPr>
      </w:pPr>
    </w:p>
    <w:p w14:paraId="66DC7E3C" w14:textId="77777777" w:rsidR="005410B9" w:rsidRDefault="005410B9" w:rsidP="000C1D07">
      <w:pPr>
        <w:pStyle w:val="BodyText"/>
        <w:spacing w:line="264" w:lineRule="auto"/>
        <w:ind w:right="1313"/>
      </w:pPr>
      <w:r>
        <w:t>As noted above, these are illustrations of comparative analyses and are not an exhaustive list of comparative analyses. While not illustrated, additional comparative analyses would apply to different types of NQTLs.</w:t>
      </w:r>
    </w:p>
    <w:p w14:paraId="33E3A4E8" w14:textId="77777777" w:rsidR="005410B9" w:rsidRPr="000E3598" w:rsidRDefault="005410B9" w:rsidP="000C1D07">
      <w:pPr>
        <w:pStyle w:val="BodyText"/>
        <w:spacing w:before="168" w:line="264" w:lineRule="auto"/>
        <w:ind w:right="1220"/>
        <w:rPr>
          <w:b/>
        </w:rPr>
      </w:pPr>
      <w:r w:rsidRPr="000E3598">
        <w:rPr>
          <w:b/>
        </w:rPr>
        <w:t>Step 5: Provide the comparative analyses used to determine in operation comparability and equivalent stringency.</w:t>
      </w:r>
    </w:p>
    <w:p w14:paraId="6D62A9A3" w14:textId="77777777" w:rsidR="00970CF3" w:rsidRDefault="00970CF3" w:rsidP="00970CF3">
      <w:pPr>
        <w:pStyle w:val="BodyText"/>
        <w:spacing w:before="168" w:line="264" w:lineRule="auto"/>
        <w:ind w:right="1220"/>
      </w:pPr>
      <w:r>
        <w:t>Provide the comparative analysis demonstrating that the processes and strategies used in operationalizing the NQTL for MH/SUD benefits are comparable to and no more stringently applied than the processes and strategies used in operationalizing the NQTL for medical surgical benefits.</w:t>
      </w:r>
    </w:p>
    <w:p w14:paraId="7D12CC32" w14:textId="77777777" w:rsidR="00970CF3" w:rsidRDefault="00970CF3" w:rsidP="00970CF3">
      <w:pPr>
        <w:pStyle w:val="BodyText"/>
        <w:spacing w:before="3"/>
        <w:rPr>
          <w:sz w:val="20"/>
        </w:rPr>
      </w:pPr>
    </w:p>
    <w:p w14:paraId="55308F47" w14:textId="77777777" w:rsidR="00970CF3" w:rsidRDefault="00970CF3" w:rsidP="00970CF3">
      <w:pPr>
        <w:pStyle w:val="BodyText"/>
        <w:spacing w:line="264" w:lineRule="auto"/>
        <w:ind w:right="1220"/>
      </w:pPr>
      <w:r>
        <w:t xml:space="preserve">Please identify each process employed for a particular NQTL. In operation processes include, but are not limited to, </w:t>
      </w:r>
      <w:r w:rsidRPr="000E3598">
        <w:t xml:space="preserve">peer clinical review, telephonic consultations with attending providers, consultations with expert reviewers, clinical rationale used in approving or denying benefits, the selection of information deemed reasonably necessary to make a medical necessity determination, adherence to utilization review criteria and criteria hierarchy, professional judgment used in lieu of utilization review criteria, actions taken when incomplete information is received from attending providers, utilization review decision timeliness, requests of patient medical records, process for sharing all clinical and demographic information on individual patients among various clinical and administrative departments, among others. </w:t>
      </w:r>
      <w:r>
        <w:t xml:space="preserve"> </w:t>
      </w:r>
    </w:p>
    <w:p w14:paraId="62663090" w14:textId="77777777" w:rsidR="005410B9" w:rsidRDefault="005410B9" w:rsidP="000C1D07">
      <w:pPr>
        <w:pStyle w:val="BodyText"/>
        <w:spacing w:line="264" w:lineRule="auto"/>
        <w:ind w:right="1220"/>
      </w:pPr>
    </w:p>
    <w:p w14:paraId="0561F2D6" w14:textId="77777777" w:rsidR="005410B9" w:rsidRPr="00E2189A" w:rsidRDefault="005410B9" w:rsidP="000C1D07">
      <w:pPr>
        <w:pStyle w:val="BodyText"/>
        <w:spacing w:before="136"/>
        <w:rPr>
          <w:rFonts w:ascii="Myriad Pro"/>
          <w:i/>
        </w:rPr>
      </w:pPr>
      <w:r w:rsidRPr="00E2189A">
        <w:rPr>
          <w:rFonts w:ascii="Myriad Pro"/>
          <w:i/>
        </w:rPr>
        <w:t>Illustrative analyses includes:</w:t>
      </w:r>
    </w:p>
    <w:p w14:paraId="19ADAC26" w14:textId="77777777" w:rsidR="005410B9" w:rsidRDefault="005410B9" w:rsidP="000C1D07">
      <w:pPr>
        <w:pStyle w:val="BodyText"/>
        <w:spacing w:before="7"/>
        <w:rPr>
          <w:rFonts w:ascii="Myriad Pro"/>
          <w:sz w:val="25"/>
        </w:rPr>
      </w:pPr>
    </w:p>
    <w:p w14:paraId="36B1EE52" w14:textId="77777777" w:rsidR="005410B9" w:rsidRDefault="005410B9" w:rsidP="000C1D07">
      <w:pPr>
        <w:pStyle w:val="BodyText"/>
      </w:pPr>
      <w:r>
        <w:t>Medical Management</w:t>
      </w:r>
    </w:p>
    <w:p w14:paraId="63108253" w14:textId="77777777" w:rsidR="005410B9" w:rsidRDefault="005410B9" w:rsidP="005410B9">
      <w:pPr>
        <w:pStyle w:val="BodyText"/>
        <w:spacing w:before="7"/>
        <w:rPr>
          <w:sz w:val="22"/>
        </w:rPr>
      </w:pPr>
    </w:p>
    <w:p w14:paraId="0B648F62" w14:textId="77777777" w:rsidR="005410B9" w:rsidRDefault="005410B9" w:rsidP="000C1D07">
      <w:pPr>
        <w:pStyle w:val="BodyText"/>
        <w:numPr>
          <w:ilvl w:val="2"/>
          <w:numId w:val="9"/>
        </w:numPr>
        <w:spacing w:line="264" w:lineRule="auto"/>
        <w:ind w:left="288" w:right="549"/>
      </w:pPr>
      <w:r>
        <w:t>Audit results that demonstrate that the frequency of all types of utilization review for medical/surgical vs. MH/SUD, where applicable, are comparable.</w:t>
      </w:r>
    </w:p>
    <w:p w14:paraId="2BDD654A" w14:textId="77777777" w:rsidR="005410B9" w:rsidRDefault="005410B9" w:rsidP="000C1D07">
      <w:pPr>
        <w:pStyle w:val="BodyText"/>
        <w:spacing w:before="3"/>
        <w:ind w:left="288"/>
        <w:rPr>
          <w:sz w:val="20"/>
        </w:rPr>
      </w:pPr>
    </w:p>
    <w:p w14:paraId="678394AF" w14:textId="77777777" w:rsidR="005410B9" w:rsidRDefault="005410B9" w:rsidP="000C1D07">
      <w:pPr>
        <w:pStyle w:val="BodyText"/>
        <w:numPr>
          <w:ilvl w:val="2"/>
          <w:numId w:val="9"/>
        </w:numPr>
        <w:spacing w:before="1" w:line="264" w:lineRule="auto"/>
        <w:ind w:left="288" w:right="1056"/>
      </w:pPr>
      <w:r>
        <w:t xml:space="preserve">Audit results that demonstrate physician-to-physician utilization reviews </w:t>
      </w:r>
      <w:r>
        <w:lastRenderedPageBreak/>
        <w:t>for prior or continuing coverage authorization were similar in frequency and content (e.g., review intervals, length of time, documentation required, etc.) of review for medical/surgical vs. MH/SUD within the same classifications of benefits.</w:t>
      </w:r>
    </w:p>
    <w:p w14:paraId="3DEBDE62" w14:textId="77777777" w:rsidR="005410B9" w:rsidRDefault="005410B9" w:rsidP="000C1D07">
      <w:pPr>
        <w:pStyle w:val="BodyText"/>
        <w:spacing w:before="3"/>
        <w:ind w:left="288"/>
        <w:rPr>
          <w:sz w:val="20"/>
        </w:rPr>
      </w:pPr>
    </w:p>
    <w:p w14:paraId="1CBF2328" w14:textId="77777777" w:rsidR="005410B9" w:rsidRDefault="005410B9" w:rsidP="000C1D07">
      <w:pPr>
        <w:pStyle w:val="BodyText"/>
        <w:numPr>
          <w:ilvl w:val="2"/>
          <w:numId w:val="9"/>
        </w:numPr>
        <w:spacing w:line="264" w:lineRule="auto"/>
        <w:ind w:left="288" w:right="1453"/>
      </w:pPr>
      <w:r>
        <w:t>Audit results that demonstrate the process of consulting with expert reviewers for MH/ SUD medical necessity determinations is comparable to and no more stringent than the process of consulting with expert reviewers for medical/surgical medical necessity determinations, including the frequency of consultation with expert reviewers and qualifications of staff involved.</w:t>
      </w:r>
    </w:p>
    <w:p w14:paraId="6BB468EE" w14:textId="77777777" w:rsidR="005410B9" w:rsidRDefault="005410B9" w:rsidP="000C1D07">
      <w:pPr>
        <w:pStyle w:val="BodyText"/>
        <w:spacing w:before="4"/>
        <w:ind w:left="288"/>
        <w:rPr>
          <w:sz w:val="20"/>
        </w:rPr>
      </w:pPr>
    </w:p>
    <w:p w14:paraId="032A6388" w14:textId="77777777" w:rsidR="005410B9" w:rsidRDefault="005410B9" w:rsidP="000C1D07">
      <w:pPr>
        <w:pStyle w:val="BodyText"/>
        <w:numPr>
          <w:ilvl w:val="2"/>
          <w:numId w:val="9"/>
        </w:numPr>
        <w:spacing w:line="264" w:lineRule="auto"/>
        <w:ind w:left="288" w:right="1056"/>
      </w:pPr>
      <w:r>
        <w:t>Audit results that demonstrate utilization review staff follow comparable processes for determining which information is reasonably necessary for making medical necessity determinations for both MH/SUD reviews and medical/surgical reviews.</w:t>
      </w:r>
    </w:p>
    <w:p w14:paraId="0C390FA2" w14:textId="77777777" w:rsidR="005410B9" w:rsidRDefault="005410B9" w:rsidP="000C1D07">
      <w:pPr>
        <w:pStyle w:val="BodyText"/>
        <w:spacing w:before="4"/>
        <w:ind w:left="288"/>
        <w:rPr>
          <w:sz w:val="20"/>
        </w:rPr>
      </w:pPr>
    </w:p>
    <w:p w14:paraId="04196850" w14:textId="77777777" w:rsidR="005410B9" w:rsidRDefault="005410B9" w:rsidP="000C1D07">
      <w:pPr>
        <w:pStyle w:val="BodyText"/>
        <w:numPr>
          <w:ilvl w:val="2"/>
          <w:numId w:val="9"/>
        </w:numPr>
        <w:spacing w:line="264" w:lineRule="auto"/>
        <w:ind w:left="288" w:right="1183"/>
      </w:pPr>
      <w:r>
        <w:t>Audit results that demonstrate that frequency of and reason for reviews for the extension of initial determinations (e.g., outpatient visits or inpatient days) for MH/SUD benefits</w:t>
      </w:r>
      <w:r>
        <w:rPr>
          <w:spacing w:val="-17"/>
        </w:rPr>
        <w:t xml:space="preserve"> </w:t>
      </w:r>
      <w:r>
        <w:t>were comparable to the frequency of reviews for the extension of initial determinations for medical/surgical</w:t>
      </w:r>
      <w:r>
        <w:rPr>
          <w:spacing w:val="-1"/>
        </w:rPr>
        <w:t xml:space="preserve"> </w:t>
      </w:r>
      <w:r>
        <w:t>benefits.</w:t>
      </w:r>
    </w:p>
    <w:p w14:paraId="5DC380D8" w14:textId="77777777" w:rsidR="005410B9" w:rsidRDefault="005410B9" w:rsidP="000C1D07">
      <w:pPr>
        <w:pStyle w:val="BodyText"/>
        <w:spacing w:before="3"/>
        <w:ind w:left="288"/>
        <w:rPr>
          <w:sz w:val="20"/>
        </w:rPr>
      </w:pPr>
    </w:p>
    <w:p w14:paraId="3032CD78" w14:textId="77777777" w:rsidR="005410B9" w:rsidRDefault="005410B9" w:rsidP="000C1D07">
      <w:pPr>
        <w:pStyle w:val="BodyText"/>
        <w:numPr>
          <w:ilvl w:val="2"/>
          <w:numId w:val="9"/>
        </w:numPr>
        <w:spacing w:before="1" w:line="264" w:lineRule="auto"/>
        <w:ind w:left="288" w:right="1220"/>
      </w:pPr>
      <w:r>
        <w:t>Audit results that demonstrate that reviews for the extension of initial determinations (e.g., outpatient visits or inpatient days) for MH/SUD benefits were of equivalent stringency to the reviews for the extension of initial determinations for medical/surgical benefits.</w:t>
      </w:r>
    </w:p>
    <w:p w14:paraId="28012FDD" w14:textId="77777777" w:rsidR="005410B9" w:rsidRDefault="005410B9" w:rsidP="000C1D07">
      <w:pPr>
        <w:pStyle w:val="BodyText"/>
        <w:spacing w:before="3"/>
        <w:ind w:left="288"/>
        <w:rPr>
          <w:sz w:val="20"/>
        </w:rPr>
      </w:pPr>
    </w:p>
    <w:p w14:paraId="5095FEC3" w14:textId="77777777" w:rsidR="005410B9" w:rsidRDefault="005410B9" w:rsidP="000C1D07">
      <w:pPr>
        <w:pStyle w:val="BodyText"/>
        <w:numPr>
          <w:ilvl w:val="2"/>
          <w:numId w:val="9"/>
        </w:numPr>
        <w:spacing w:line="264" w:lineRule="auto"/>
        <w:ind w:left="288" w:right="1381"/>
      </w:pPr>
      <w:r>
        <w:t>Audit/review of denial and appeal rates (both medical and administrative) by service type or benefit</w:t>
      </w:r>
      <w:r>
        <w:rPr>
          <w:spacing w:val="-1"/>
        </w:rPr>
        <w:t xml:space="preserve"> </w:t>
      </w:r>
      <w:r>
        <w:t>category.</w:t>
      </w:r>
    </w:p>
    <w:p w14:paraId="255B51A3" w14:textId="77777777" w:rsidR="005410B9" w:rsidRDefault="005410B9" w:rsidP="000C1D07">
      <w:pPr>
        <w:pStyle w:val="BodyText"/>
        <w:spacing w:before="3"/>
        <w:ind w:left="288"/>
        <w:rPr>
          <w:sz w:val="20"/>
        </w:rPr>
      </w:pPr>
    </w:p>
    <w:p w14:paraId="3B57A90A" w14:textId="77777777" w:rsidR="005410B9" w:rsidRDefault="005410B9" w:rsidP="000C1D07">
      <w:pPr>
        <w:pStyle w:val="BodyText"/>
        <w:numPr>
          <w:ilvl w:val="2"/>
          <w:numId w:val="9"/>
        </w:numPr>
        <w:spacing w:before="1"/>
        <w:ind w:left="288"/>
      </w:pPr>
      <w:r>
        <w:t>Audit/review of utilization review documentation requirements.</w:t>
      </w:r>
    </w:p>
    <w:p w14:paraId="2CFCC1C5" w14:textId="77777777" w:rsidR="005410B9" w:rsidRDefault="005410B9" w:rsidP="000C1D07">
      <w:pPr>
        <w:pStyle w:val="BodyText"/>
        <w:spacing w:before="6"/>
        <w:ind w:left="288"/>
        <w:rPr>
          <w:sz w:val="22"/>
        </w:rPr>
      </w:pPr>
    </w:p>
    <w:p w14:paraId="77A273EF" w14:textId="77777777" w:rsidR="005410B9" w:rsidRDefault="005410B9" w:rsidP="000C1D07">
      <w:pPr>
        <w:pStyle w:val="BodyText"/>
        <w:numPr>
          <w:ilvl w:val="2"/>
          <w:numId w:val="9"/>
        </w:numPr>
        <w:spacing w:line="264" w:lineRule="auto"/>
        <w:ind w:left="288" w:right="1056"/>
      </w:pPr>
      <w:r>
        <w:t>Audit results that indicate that coverage approvals and denials correspond to the plan’s criteria and guidelines.</w:t>
      </w:r>
    </w:p>
    <w:p w14:paraId="2E46A211" w14:textId="77777777" w:rsidR="005410B9" w:rsidRDefault="005410B9" w:rsidP="000C1D07">
      <w:pPr>
        <w:pStyle w:val="BodyText"/>
        <w:spacing w:before="4"/>
        <w:ind w:left="288"/>
        <w:rPr>
          <w:sz w:val="20"/>
        </w:rPr>
      </w:pPr>
    </w:p>
    <w:p w14:paraId="66C444F5" w14:textId="77777777" w:rsidR="005410B9" w:rsidRDefault="005410B9" w:rsidP="000C1D07">
      <w:pPr>
        <w:pStyle w:val="BodyText"/>
        <w:numPr>
          <w:ilvl w:val="2"/>
          <w:numId w:val="9"/>
        </w:numPr>
        <w:spacing w:line="264" w:lineRule="auto"/>
        <w:ind w:left="288" w:right="1220"/>
      </w:pPr>
      <w:r>
        <w:t>A comparison of inter-rater reliability results between MH/SUD reviewers and medical/ surgical reviewers.</w:t>
      </w:r>
    </w:p>
    <w:p w14:paraId="12966298" w14:textId="77777777" w:rsidR="005410B9" w:rsidRDefault="005410B9" w:rsidP="005410B9">
      <w:pPr>
        <w:spacing w:line="264" w:lineRule="auto"/>
      </w:pPr>
    </w:p>
    <w:p w14:paraId="2E5110CD" w14:textId="77777777" w:rsidR="005410B9" w:rsidRPr="001D7AFA" w:rsidRDefault="005410B9" w:rsidP="000C1D07">
      <w:pPr>
        <w:pStyle w:val="BodyText"/>
        <w:spacing w:before="140"/>
        <w:rPr>
          <w:i/>
        </w:rPr>
      </w:pPr>
      <w:r w:rsidRPr="001D7AFA">
        <w:rPr>
          <w:i/>
        </w:rPr>
        <w:t>Network Adequacy</w:t>
      </w:r>
    </w:p>
    <w:p w14:paraId="76FE490F" w14:textId="77777777" w:rsidR="005410B9" w:rsidRDefault="005410B9" w:rsidP="005410B9">
      <w:pPr>
        <w:pStyle w:val="BodyText"/>
        <w:spacing w:before="7"/>
        <w:rPr>
          <w:sz w:val="22"/>
        </w:rPr>
      </w:pPr>
    </w:p>
    <w:p w14:paraId="1445B452" w14:textId="77777777" w:rsidR="005410B9" w:rsidRDefault="005410B9" w:rsidP="000C1D07">
      <w:pPr>
        <w:pStyle w:val="BodyText"/>
        <w:numPr>
          <w:ilvl w:val="2"/>
          <w:numId w:val="10"/>
        </w:numPr>
        <w:spacing w:line="264" w:lineRule="auto"/>
        <w:ind w:left="288" w:right="1345"/>
      </w:pPr>
      <w:r>
        <w:t>Analyses to determine whether out-of-network and emergency room utilization by beneficiaries for MH/SUD services are comparable to those for out-of-network utilization for similar types of medical services within each benefits classification.</w:t>
      </w:r>
    </w:p>
    <w:p w14:paraId="5123689B" w14:textId="77777777" w:rsidR="005410B9" w:rsidRDefault="005410B9" w:rsidP="000C1D07">
      <w:pPr>
        <w:pStyle w:val="BodyText"/>
        <w:spacing w:before="4"/>
        <w:ind w:left="288"/>
        <w:rPr>
          <w:sz w:val="20"/>
        </w:rPr>
      </w:pPr>
    </w:p>
    <w:p w14:paraId="5670F2B3" w14:textId="77777777" w:rsidR="005410B9" w:rsidRDefault="005410B9" w:rsidP="000C1D07">
      <w:pPr>
        <w:pStyle w:val="BodyText"/>
        <w:numPr>
          <w:ilvl w:val="2"/>
          <w:numId w:val="10"/>
        </w:numPr>
        <w:spacing w:line="264" w:lineRule="auto"/>
        <w:ind w:left="288" w:right="1220"/>
      </w:pPr>
      <w:r>
        <w:lastRenderedPageBreak/>
        <w:t>Analyses of provider in-network participation rates (e.g., wait times for appointments, volume of claims filed, types of services provided).</w:t>
      </w:r>
    </w:p>
    <w:p w14:paraId="461BA88D" w14:textId="77777777" w:rsidR="005410B9" w:rsidRDefault="005410B9" w:rsidP="005410B9">
      <w:pPr>
        <w:pStyle w:val="BodyText"/>
        <w:spacing w:before="3"/>
        <w:rPr>
          <w:sz w:val="20"/>
        </w:rPr>
      </w:pPr>
    </w:p>
    <w:p w14:paraId="2E1DF5CD" w14:textId="77777777" w:rsidR="005410B9" w:rsidRDefault="005410B9" w:rsidP="000C1D07">
      <w:pPr>
        <w:pStyle w:val="BodyText"/>
        <w:spacing w:line="264" w:lineRule="auto"/>
        <w:ind w:right="1229"/>
      </w:pPr>
      <w:r>
        <w:t>As noted above, these are illustrations of comparative analyses and are not an exhaustive list of comparative analyses. While not illustrated, additional analyses would apply to different types of NQTLs.</w:t>
      </w:r>
    </w:p>
    <w:p w14:paraId="4E6B8560" w14:textId="77777777" w:rsidR="005410B9" w:rsidRDefault="005410B9" w:rsidP="000C1D07">
      <w:pPr>
        <w:pStyle w:val="BodyText"/>
        <w:spacing w:before="161" w:line="264" w:lineRule="auto"/>
        <w:ind w:right="1256"/>
      </w:pPr>
    </w:p>
    <w:p w14:paraId="0DE88DCB" w14:textId="77777777" w:rsidR="005410B9" w:rsidRPr="00822F9D" w:rsidRDefault="005410B9" w:rsidP="000C1D07">
      <w:pPr>
        <w:pStyle w:val="BodyText"/>
        <w:spacing w:before="161" w:line="264" w:lineRule="auto"/>
        <w:ind w:right="1256"/>
        <w:rPr>
          <w:b/>
        </w:rPr>
      </w:pPr>
      <w:r w:rsidRPr="00822F9D">
        <w:rPr>
          <w:b/>
        </w:rPr>
        <w:t>Step 6: Summary statement justifying how performing the comparative analyses required by the subsequent steps has led the plan to conclude that it is in compliance.</w:t>
      </w:r>
    </w:p>
    <w:p w14:paraId="2D945706" w14:textId="77777777" w:rsidR="005410B9" w:rsidRDefault="005410B9" w:rsidP="000C1D07">
      <w:pPr>
        <w:pStyle w:val="BodyText"/>
        <w:spacing w:before="161" w:line="264" w:lineRule="auto"/>
        <w:ind w:right="1256"/>
      </w:pPr>
    </w:p>
    <w:p w14:paraId="2F904861" w14:textId="0764F0CD" w:rsidR="005410B9" w:rsidRDefault="005410B9" w:rsidP="000C1D07">
      <w:pPr>
        <w:pStyle w:val="BodyText"/>
        <w:spacing w:line="264" w:lineRule="auto"/>
        <w:ind w:right="1145"/>
      </w:pPr>
      <w:r>
        <w:t>Based on the responses provided in the steps above, clearly summarize the basis for the plan or issuer’s conclusion that both as written and in operation, the processes, strategies, evidentiary standards, and factors used to impose the NQTL on MH/SUD benefits are comparable to and applied no more stringently than the processes, strategies, evidentiary standards, and factors used to impose the NQTL on medical/surgical benefits in each classification of benefits in which</w:t>
      </w:r>
      <w:r w:rsidR="00582BE4">
        <w:t xml:space="preserve"> the NQTL is imposed. </w:t>
      </w:r>
    </w:p>
    <w:sectPr w:rsidR="005410B9" w:rsidSect="002021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C8AC" w14:textId="77777777" w:rsidR="00C62CC4" w:rsidRDefault="00C62CC4" w:rsidP="00C62CC4">
      <w:r>
        <w:separator/>
      </w:r>
    </w:p>
  </w:endnote>
  <w:endnote w:type="continuationSeparator" w:id="0">
    <w:p w14:paraId="30A63D2B" w14:textId="77777777" w:rsidR="00C62CC4" w:rsidRDefault="00C62CC4" w:rsidP="00C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charset w:val="00"/>
    <w:family w:val="swiss"/>
    <w:pitch w:val="variable"/>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3851" w14:textId="77777777" w:rsidR="00C62CC4" w:rsidRDefault="00C62CC4" w:rsidP="00C62CC4">
      <w:r>
        <w:separator/>
      </w:r>
    </w:p>
  </w:footnote>
  <w:footnote w:type="continuationSeparator" w:id="0">
    <w:p w14:paraId="4776AA87" w14:textId="77777777" w:rsidR="00C62CC4" w:rsidRDefault="00C62CC4" w:rsidP="00C6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10"/>
    <w:multiLevelType w:val="hybridMultilevel"/>
    <w:tmpl w:val="762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3CA"/>
    <w:multiLevelType w:val="hybridMultilevel"/>
    <w:tmpl w:val="4D90FEAA"/>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 w15:restartNumberingAfterBreak="0">
    <w:nsid w:val="106A693D"/>
    <w:multiLevelType w:val="hybridMultilevel"/>
    <w:tmpl w:val="10061A42"/>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 w15:restartNumberingAfterBreak="0">
    <w:nsid w:val="264C7D94"/>
    <w:multiLevelType w:val="hybridMultilevel"/>
    <w:tmpl w:val="EB746408"/>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4" w15:restartNumberingAfterBreak="0">
    <w:nsid w:val="334A5AA3"/>
    <w:multiLevelType w:val="hybridMultilevel"/>
    <w:tmpl w:val="B2C0E52E"/>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5" w15:restartNumberingAfterBreak="0">
    <w:nsid w:val="3FD2190F"/>
    <w:multiLevelType w:val="hybridMultilevel"/>
    <w:tmpl w:val="14A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33064"/>
    <w:multiLevelType w:val="hybridMultilevel"/>
    <w:tmpl w:val="627A499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7" w15:restartNumberingAfterBreak="0">
    <w:nsid w:val="5B616523"/>
    <w:multiLevelType w:val="hybridMultilevel"/>
    <w:tmpl w:val="93D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208C1"/>
    <w:multiLevelType w:val="hybridMultilevel"/>
    <w:tmpl w:val="1A5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D70CA"/>
    <w:multiLevelType w:val="hybridMultilevel"/>
    <w:tmpl w:val="8AD8013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0B9"/>
    <w:rsid w:val="000C1D07"/>
    <w:rsid w:val="00202113"/>
    <w:rsid w:val="003A6F0C"/>
    <w:rsid w:val="00503760"/>
    <w:rsid w:val="005410B9"/>
    <w:rsid w:val="00582BE4"/>
    <w:rsid w:val="00610222"/>
    <w:rsid w:val="007216A9"/>
    <w:rsid w:val="00916C94"/>
    <w:rsid w:val="00922879"/>
    <w:rsid w:val="00952A8B"/>
    <w:rsid w:val="00970CF3"/>
    <w:rsid w:val="009E5CC5"/>
    <w:rsid w:val="00A35535"/>
    <w:rsid w:val="00A73039"/>
    <w:rsid w:val="00B239CD"/>
    <w:rsid w:val="00C62CC4"/>
    <w:rsid w:val="00C86C64"/>
    <w:rsid w:val="00CD2549"/>
    <w:rsid w:val="00EF4B66"/>
    <w:rsid w:val="00F0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D54F45"/>
  <w14:defaultImageDpi w14:val="300"/>
  <w15:docId w15:val="{380CCF51-3B6E-436C-BBFB-9AE3D059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410B9"/>
    <w:pPr>
      <w:widowControl w:val="0"/>
      <w:autoSpaceDE w:val="0"/>
      <w:autoSpaceDN w:val="0"/>
    </w:pPr>
    <w:rPr>
      <w:rFonts w:ascii="Myriad Pro Light" w:eastAsia="Myriad Pro Light" w:hAnsi="Myriad Pro Light" w:cs="Myriad Pro Light"/>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0B9"/>
    <w:rPr>
      <w:sz w:val="23"/>
      <w:szCs w:val="23"/>
    </w:rPr>
  </w:style>
  <w:style w:type="character" w:customStyle="1" w:styleId="BodyTextChar">
    <w:name w:val="Body Text Char"/>
    <w:basedOn w:val="DefaultParagraphFont"/>
    <w:link w:val="BodyText"/>
    <w:uiPriority w:val="1"/>
    <w:rsid w:val="005410B9"/>
    <w:rPr>
      <w:rFonts w:ascii="Myriad Pro Light" w:eastAsia="Myriad Pro Light" w:hAnsi="Myriad Pro Light" w:cs="Myriad Pro Light"/>
      <w:sz w:val="23"/>
      <w:szCs w:val="23"/>
      <w:lang w:bidi="en-US"/>
    </w:rPr>
  </w:style>
  <w:style w:type="character" w:styleId="Hyperlink">
    <w:name w:val="Hyperlink"/>
    <w:basedOn w:val="DefaultParagraphFont"/>
    <w:uiPriority w:val="99"/>
    <w:unhideWhenUsed/>
    <w:rsid w:val="00C86C64"/>
    <w:rPr>
      <w:color w:val="0000FF" w:themeColor="hyperlink"/>
      <w:u w:val="single"/>
    </w:rPr>
  </w:style>
  <w:style w:type="paragraph" w:styleId="Header">
    <w:name w:val="header"/>
    <w:basedOn w:val="Normal"/>
    <w:link w:val="HeaderChar"/>
    <w:uiPriority w:val="99"/>
    <w:unhideWhenUsed/>
    <w:rsid w:val="00C62CC4"/>
    <w:pPr>
      <w:tabs>
        <w:tab w:val="center" w:pos="4320"/>
        <w:tab w:val="right" w:pos="8640"/>
      </w:tabs>
    </w:pPr>
  </w:style>
  <w:style w:type="character" w:customStyle="1" w:styleId="HeaderChar">
    <w:name w:val="Header Char"/>
    <w:basedOn w:val="DefaultParagraphFont"/>
    <w:link w:val="Header"/>
    <w:uiPriority w:val="99"/>
    <w:rsid w:val="00C62CC4"/>
    <w:rPr>
      <w:rFonts w:ascii="Myriad Pro Light" w:eastAsia="Myriad Pro Light" w:hAnsi="Myriad Pro Light" w:cs="Myriad Pro Light"/>
      <w:sz w:val="22"/>
      <w:szCs w:val="22"/>
      <w:lang w:bidi="en-US"/>
    </w:rPr>
  </w:style>
  <w:style w:type="paragraph" w:styleId="Footer">
    <w:name w:val="footer"/>
    <w:basedOn w:val="Normal"/>
    <w:link w:val="FooterChar"/>
    <w:uiPriority w:val="99"/>
    <w:unhideWhenUsed/>
    <w:rsid w:val="00C62CC4"/>
    <w:pPr>
      <w:tabs>
        <w:tab w:val="center" w:pos="4320"/>
        <w:tab w:val="right" w:pos="8640"/>
      </w:tabs>
    </w:pPr>
  </w:style>
  <w:style w:type="character" w:customStyle="1" w:styleId="FooterChar">
    <w:name w:val="Footer Char"/>
    <w:basedOn w:val="DefaultParagraphFont"/>
    <w:link w:val="Footer"/>
    <w:uiPriority w:val="99"/>
    <w:rsid w:val="00C62CC4"/>
    <w:rPr>
      <w:rFonts w:ascii="Myriad Pro Light" w:eastAsia="Myriad Pro Light" w:hAnsi="Myriad Pro Light" w:cs="Myriad Pro Light"/>
      <w:sz w:val="22"/>
      <w:szCs w:val="22"/>
      <w:lang w:bidi="en-US"/>
    </w:rPr>
  </w:style>
  <w:style w:type="character" w:styleId="UnresolvedMention">
    <w:name w:val="Unresolved Mention"/>
    <w:basedOn w:val="DefaultParagraphFont"/>
    <w:uiPriority w:val="99"/>
    <w:semiHidden/>
    <w:unhideWhenUsed/>
    <w:rsid w:val="0095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2020-01-01T06:00:00+00:00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8F8E8-E680-4FFE-9A53-4943A2778A24}"/>
</file>

<file path=customXml/itemProps2.xml><?xml version="1.0" encoding="utf-8"?>
<ds:datastoreItem xmlns:ds="http://schemas.openxmlformats.org/officeDocument/2006/customXml" ds:itemID="{AC1219A7-48EE-4D8A-8F9D-2717CBE6B382}"/>
</file>

<file path=customXml/itemProps3.xml><?xml version="1.0" encoding="utf-8"?>
<ds:datastoreItem xmlns:ds="http://schemas.openxmlformats.org/officeDocument/2006/customXml" ds:itemID="{4B04B35D-5D2F-435A-AA95-9E638C7C693A}"/>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12634</Characters>
  <Application>Microsoft Office Word</Application>
  <DocSecurity>0</DocSecurity>
  <Lines>105</Lines>
  <Paragraphs>29</Paragraphs>
  <ScaleCrop>false</ScaleCrop>
  <Company>Scattergood Foundation</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3</cp:revision>
  <dcterms:created xsi:type="dcterms:W3CDTF">2019-09-24T18:19:00Z</dcterms:created>
  <dcterms:modified xsi:type="dcterms:W3CDTF">2019-09-24T18:19:00Z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